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A4" w:rsidRDefault="008E14A4" w:rsidP="008E14A4">
      <w:pPr>
        <w:rPr>
          <w:sz w:val="40"/>
          <w:szCs w:val="40"/>
        </w:rPr>
      </w:pPr>
      <w:r>
        <w:rPr>
          <w:sz w:val="40"/>
          <w:szCs w:val="40"/>
        </w:rPr>
        <w:t>Komunikat w sprawie konkurs</w:t>
      </w:r>
      <w:r w:rsidR="00FD2DD7">
        <w:rPr>
          <w:sz w:val="40"/>
          <w:szCs w:val="40"/>
        </w:rPr>
        <w:t>u</w:t>
      </w:r>
      <w:r w:rsidR="00CB2B04">
        <w:rPr>
          <w:sz w:val="40"/>
          <w:szCs w:val="40"/>
        </w:rPr>
        <w:t xml:space="preserve"> z Podd</w:t>
      </w:r>
      <w:r>
        <w:rPr>
          <w:sz w:val="40"/>
          <w:szCs w:val="40"/>
        </w:rPr>
        <w:t xml:space="preserve">ziałania </w:t>
      </w:r>
      <w:r w:rsidR="003618D1">
        <w:rPr>
          <w:sz w:val="40"/>
          <w:szCs w:val="40"/>
        </w:rPr>
        <w:t>3.3</w:t>
      </w:r>
      <w:r w:rsidR="00CB2B04">
        <w:rPr>
          <w:sz w:val="40"/>
          <w:szCs w:val="40"/>
        </w:rPr>
        <w:t>.4- ZIT AW</w:t>
      </w:r>
    </w:p>
    <w:p w:rsidR="00FD2DD7" w:rsidRPr="00FD2DD7" w:rsidRDefault="001C23B9" w:rsidP="008E14A4">
      <w:pPr>
        <w:spacing w:before="120" w:after="120" w:line="240" w:lineRule="auto"/>
        <w:jc w:val="both"/>
      </w:pPr>
      <w:r>
        <w:t xml:space="preserve">W związku z </w:t>
      </w:r>
      <w:r w:rsidRPr="00BF720F">
        <w:t>trwającym konkurs</w:t>
      </w:r>
      <w:r w:rsidR="00FD2DD7">
        <w:t>em</w:t>
      </w:r>
      <w:r w:rsidR="00CB2B04">
        <w:t xml:space="preserve"> w ramach Podd</w:t>
      </w:r>
      <w:r w:rsidRPr="00BF720F">
        <w:t xml:space="preserve">ziałania </w:t>
      </w:r>
      <w:r w:rsidR="00A40DA4">
        <w:t>3.3</w:t>
      </w:r>
      <w:r w:rsidR="00CB2B04">
        <w:t>.4</w:t>
      </w:r>
      <w:r w:rsidR="00A40DA4">
        <w:t xml:space="preserve"> </w:t>
      </w:r>
      <w:r w:rsidR="005723D8">
        <w:t>Efektywność energetyczna w budynkach użyteczności publicznej i sektorze mieszkaniowym</w:t>
      </w:r>
      <w:r w:rsidR="00CB2B04">
        <w:t xml:space="preserve"> – ZIT AW</w:t>
      </w:r>
      <w:r w:rsidR="005723D8">
        <w:t xml:space="preserve">, </w:t>
      </w:r>
      <w:r w:rsidR="00CB2B04">
        <w:rPr>
          <w:b/>
        </w:rPr>
        <w:t>Gmina Wałbrzych pełniąca funkcję Instytucji Pośredniczącej</w:t>
      </w:r>
      <w:r w:rsidR="00EE17D5">
        <w:t xml:space="preserve"> przedstawia </w:t>
      </w:r>
      <w:r w:rsidR="006344E0">
        <w:t xml:space="preserve">poniżej </w:t>
      </w:r>
      <w:r w:rsidRPr="00BF720F">
        <w:t>w</w:t>
      </w:r>
      <w:r>
        <w:t>yjaśnienia i uzupełnienia informac</w:t>
      </w:r>
      <w:r w:rsidR="00C76E01">
        <w:t>ji zawart</w:t>
      </w:r>
      <w:r w:rsidR="00FD2DD7">
        <w:t>ych</w:t>
      </w:r>
      <w:r w:rsidR="00C76E01">
        <w:t xml:space="preserve"> w treści ogłosze</w:t>
      </w:r>
      <w:r w:rsidR="00FD2DD7">
        <w:t>nia</w:t>
      </w:r>
      <w:r w:rsidR="00C76E01">
        <w:t xml:space="preserve"> </w:t>
      </w:r>
      <w:r>
        <w:t xml:space="preserve">do </w:t>
      </w:r>
      <w:r w:rsidR="00FD2DD7">
        <w:t xml:space="preserve">naboru: </w:t>
      </w:r>
      <w:r w:rsidR="00FD2DD7" w:rsidRPr="00FD2DD7">
        <w:rPr>
          <w:rFonts w:asciiTheme="minorHAnsi" w:eastAsiaTheme="minorEastAsia" w:hAnsiTheme="minorHAnsi" w:cs="MS Sans Serif"/>
          <w:color w:val="000000" w:themeColor="text1"/>
          <w:lang w:eastAsia="pl-PL"/>
        </w:rPr>
        <w:t>RPDS.03.03.04-IP.03-02-066/16 (ZIT AW)</w:t>
      </w:r>
      <w:r w:rsidR="00FD2DD7">
        <w:rPr>
          <w:rFonts w:asciiTheme="minorHAnsi" w:eastAsiaTheme="minorEastAsia" w:hAnsiTheme="minorHAnsi" w:cs="MS Sans Serif"/>
          <w:color w:val="000000" w:themeColor="text1"/>
          <w:lang w:eastAsia="pl-PL"/>
        </w:rPr>
        <w:t>.</w:t>
      </w:r>
    </w:p>
    <w:p w:rsidR="00A40DA4" w:rsidRDefault="00A40DA4" w:rsidP="008E14A4">
      <w:pPr>
        <w:spacing w:before="120" w:after="120" w:line="240" w:lineRule="auto"/>
        <w:jc w:val="both"/>
      </w:pPr>
      <w:r>
        <w:t xml:space="preserve">Wyjaśnienia do załącznika </w:t>
      </w:r>
      <w:r w:rsidR="0046290B">
        <w:t>„Z</w:t>
      </w:r>
      <w:r w:rsidR="0046290B" w:rsidRPr="0046290B">
        <w:t>estawienie wskaź</w:t>
      </w:r>
      <w:r w:rsidR="006E1137">
        <w:t xml:space="preserve">ników na poziomie projektu dla Poddziałania 3.3.4 </w:t>
      </w:r>
      <w:bookmarkStart w:id="0" w:name="_GoBack"/>
      <w:bookmarkEnd w:id="0"/>
      <w:r w:rsidR="0046290B" w:rsidRPr="0046290B">
        <w:t>Efektywność energetyczna w budynkach użyteczności publ</w:t>
      </w:r>
      <w:r w:rsidR="0046290B">
        <w:t>icznej i sektorze mieszkaniowym” – załącznik do regulaminu nr 4 w nabor</w:t>
      </w:r>
      <w:r w:rsidR="00FD2DD7">
        <w:t>ze ogłoszonym dla ZIT AW.</w:t>
      </w:r>
    </w:p>
    <w:p w:rsidR="00EA0D84" w:rsidRDefault="00EA0D84" w:rsidP="008E14A4">
      <w:pPr>
        <w:spacing w:before="120" w:after="120" w:line="240" w:lineRule="auto"/>
        <w:jc w:val="both"/>
      </w:pPr>
      <w:r>
        <w:t>W załączniku wskazano – jako wskaźniki produktu – zgodnie z zapisami RPO WD 2014 – 2020 – następujące wskaźniki:</w:t>
      </w:r>
    </w:p>
    <w:p w:rsidR="00EA0D84" w:rsidRPr="00EA0D84" w:rsidRDefault="00EA0D84" w:rsidP="00EA0D84">
      <w:pPr>
        <w:pStyle w:val="Akapitzlist"/>
        <w:numPr>
          <w:ilvl w:val="0"/>
          <w:numId w:val="1"/>
        </w:numPr>
        <w:spacing w:before="120" w:after="120" w:line="240" w:lineRule="auto"/>
        <w:ind w:left="426"/>
        <w:jc w:val="both"/>
        <w:rPr>
          <w:b/>
        </w:rPr>
      </w:pPr>
      <w:r w:rsidRPr="00EA0D84">
        <w:rPr>
          <w:rFonts w:asciiTheme="minorHAnsi" w:hAnsiTheme="minorHAnsi"/>
          <w:b/>
        </w:rPr>
        <w:t>Zmniejszenie rocznego zużycia energii pierwotnej w budynkach publicznych</w:t>
      </w:r>
    </w:p>
    <w:p w:rsidR="00EA0D84" w:rsidRPr="00EA0D84" w:rsidRDefault="00EA0D84" w:rsidP="00EA0D84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 w:rsidRPr="00EA0D84">
        <w:t xml:space="preserve">Wskaźnik ten </w:t>
      </w:r>
      <w:r>
        <w:t>został zdefiniowany w następujący sposób (t</w:t>
      </w:r>
      <w:r>
        <w:rPr>
          <w:rFonts w:asciiTheme="minorHAnsi" w:hAnsiTheme="minorHAnsi"/>
        </w:rPr>
        <w:t>łumaczenie robocze)</w:t>
      </w:r>
      <w:r>
        <w:t>:</w:t>
      </w:r>
    </w:p>
    <w:p w:rsidR="00EA0D84" w:rsidRDefault="00EA0D84" w:rsidP="00EA0D84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Pr="00644DA8">
        <w:rPr>
          <w:rFonts w:asciiTheme="minorHAnsi" w:hAnsiTheme="minorHAnsi"/>
        </w:rPr>
        <w:t xml:space="preserve">Wyliczenia są oparte na świadectwie </w:t>
      </w:r>
      <w:r>
        <w:rPr>
          <w:rFonts w:asciiTheme="minorHAnsi" w:hAnsiTheme="minorHAnsi"/>
        </w:rPr>
        <w:t>charakterystyki energetycznej</w:t>
      </w:r>
      <w:r w:rsidRPr="00644DA8">
        <w:rPr>
          <w:rFonts w:asciiTheme="minorHAnsi" w:hAnsiTheme="minorHAnsi"/>
        </w:rPr>
        <w:t xml:space="preserve"> budynków (patrz Art.12.1.b Dyrektywy 010/31/UE</w:t>
      </w:r>
      <w:r>
        <w:rPr>
          <w:rFonts w:asciiTheme="minorHAnsi" w:hAnsiTheme="minorHAnsi"/>
        </w:rPr>
        <w:t xml:space="preserve"> oraz przepisy ustawy</w:t>
      </w:r>
      <w:r w:rsidRPr="000A2F95">
        <w:rPr>
          <w:rFonts w:asciiTheme="minorHAnsi" w:hAnsiTheme="minorHAnsi"/>
        </w:rPr>
        <w:t xml:space="preserve"> z dnia 29 sierpnia 2014 r. o charakterystyce energetycznej budynków</w:t>
      </w:r>
      <w:r>
        <w:rPr>
          <w:rFonts w:asciiTheme="minorHAnsi" w:hAnsiTheme="minorHAnsi"/>
        </w:rPr>
        <w:t xml:space="preserve"> wdrażającej dyrektywę</w:t>
      </w:r>
      <w:r w:rsidRPr="00644DA8">
        <w:rPr>
          <w:rFonts w:asciiTheme="minorHAnsi" w:hAnsiTheme="minorHAnsi"/>
        </w:rPr>
        <w:t>). Zgodnie z terminami określonymi w dyrektywie, wskaźnik musi dotyczyć wszystkich budynków publicznych o powierzchni użytkowej powyżej 500 m2 i odtworzonej przy wsparciu z funduszy strukturalnych. Jeśli budowa została rozpoczęta p</w:t>
      </w:r>
      <w:r w:rsidR="00EA767B">
        <w:rPr>
          <w:rFonts w:asciiTheme="minorHAnsi" w:hAnsiTheme="minorHAnsi"/>
        </w:rPr>
        <w:t>o 9 lipca 2015 r., próg w </w:t>
      </w:r>
      <w:r w:rsidRPr="00644DA8">
        <w:rPr>
          <w:rFonts w:asciiTheme="minorHAnsi" w:hAnsiTheme="minorHAnsi"/>
        </w:rPr>
        <w:t>przypadku budynków publicznych jest obniżony do 250 m2 powier</w:t>
      </w:r>
      <w:r w:rsidR="00EA767B">
        <w:rPr>
          <w:rFonts w:asciiTheme="minorHAnsi" w:hAnsiTheme="minorHAnsi"/>
        </w:rPr>
        <w:t>zchni użytkowej. IZ może ująć w </w:t>
      </w:r>
      <w:r w:rsidRPr="00644DA8">
        <w:rPr>
          <w:rFonts w:asciiTheme="minorHAnsi" w:hAnsiTheme="minorHAnsi"/>
        </w:rPr>
        <w:t>obliczeniach budynki o powierzchni użytkowej mniejszej niż 250 m2 (lub 500 m2 przed 9.07.2015 r.).</w:t>
      </w:r>
      <w:r>
        <w:rPr>
          <w:rFonts w:asciiTheme="minorHAnsi" w:hAnsiTheme="minorHAnsi"/>
        </w:rPr>
        <w:t xml:space="preserve"> </w:t>
      </w:r>
    </w:p>
    <w:p w:rsidR="00EA0D84" w:rsidRDefault="00EA0D84" w:rsidP="00EA0D84">
      <w:pPr>
        <w:spacing w:before="120" w:after="120" w:line="240" w:lineRule="auto"/>
        <w:jc w:val="both"/>
        <w:rPr>
          <w:rFonts w:asciiTheme="minorHAnsi" w:hAnsiTheme="minorHAnsi"/>
        </w:rPr>
      </w:pPr>
      <w:r w:rsidRPr="00644DA8">
        <w:rPr>
          <w:rFonts w:asciiTheme="minorHAnsi" w:hAnsiTheme="minorHAnsi"/>
        </w:rPr>
        <w:t xml:space="preserve">Wartość jest wyliczana na podstawie świadectw </w:t>
      </w:r>
      <w:r>
        <w:rPr>
          <w:rFonts w:asciiTheme="minorHAnsi" w:hAnsiTheme="minorHAnsi"/>
        </w:rPr>
        <w:t xml:space="preserve">charakterystyki </w:t>
      </w:r>
      <w:r w:rsidRPr="00644DA8">
        <w:rPr>
          <w:rFonts w:asciiTheme="minorHAnsi" w:hAnsiTheme="minorHAnsi"/>
        </w:rPr>
        <w:t>energetyczn</w:t>
      </w:r>
      <w:r>
        <w:rPr>
          <w:rFonts w:asciiTheme="minorHAnsi" w:hAnsiTheme="minorHAnsi"/>
        </w:rPr>
        <w:t>ej</w:t>
      </w:r>
      <w:r w:rsidRPr="00644DA8">
        <w:rPr>
          <w:rFonts w:asciiTheme="minorHAnsi" w:hAnsiTheme="minorHAnsi"/>
        </w:rPr>
        <w:t xml:space="preserve"> wydanych przed i po przebudowie/</w:t>
      </w:r>
      <w:r>
        <w:rPr>
          <w:rFonts w:asciiTheme="minorHAnsi" w:hAnsiTheme="minorHAnsi"/>
        </w:rPr>
        <w:t xml:space="preserve"> </w:t>
      </w:r>
      <w:r w:rsidRPr="00644DA8">
        <w:rPr>
          <w:rFonts w:asciiTheme="minorHAnsi" w:hAnsiTheme="minorHAnsi"/>
        </w:rPr>
        <w:t>odbudowie</w:t>
      </w:r>
      <w:r>
        <w:rPr>
          <w:rFonts w:asciiTheme="minorHAnsi" w:hAnsiTheme="minorHAnsi"/>
        </w:rPr>
        <w:t>.”</w:t>
      </w:r>
    </w:p>
    <w:p w:rsidR="00B83EAA" w:rsidRDefault="00B83EAA" w:rsidP="00B83EAA">
      <w:pPr>
        <w:pStyle w:val="Akapitzlist"/>
        <w:numPr>
          <w:ilvl w:val="0"/>
          <w:numId w:val="1"/>
        </w:numPr>
        <w:spacing w:before="120" w:after="120" w:line="240" w:lineRule="auto"/>
        <w:ind w:left="426"/>
        <w:jc w:val="both"/>
        <w:rPr>
          <w:b/>
        </w:rPr>
      </w:pPr>
      <w:r w:rsidRPr="00B83EAA">
        <w:rPr>
          <w:b/>
        </w:rPr>
        <w:t>Szacowany roczny spadek emisji gazów cieplarnianych</w:t>
      </w:r>
    </w:p>
    <w:p w:rsidR="00B83EAA" w:rsidRDefault="00B83EAA" w:rsidP="00B83EAA">
      <w:pPr>
        <w:spacing w:before="120" w:after="120" w:line="240" w:lineRule="auto"/>
        <w:jc w:val="both"/>
      </w:pPr>
      <w:r w:rsidRPr="00B83EAA">
        <w:t>Wskaźnik ten został zdefiniowany w następujący sposób (tłumaczenie robocze):</w:t>
      </w:r>
    </w:p>
    <w:p w:rsidR="00B83EAA" w:rsidRPr="00E32852" w:rsidRDefault="00B83EAA" w:rsidP="00B83EAA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>
        <w:t>„</w:t>
      </w:r>
      <w:r w:rsidRPr="00E32852">
        <w:rPr>
          <w:rFonts w:asciiTheme="minorHAnsi" w:hAnsiTheme="minorHAnsi"/>
        </w:rPr>
        <w:t>Wskaźnik ten jest liczony dla interwencji bezpośrednio zwiększających produkcję energii ze źródeł odnawialnych lub zmniejszających zużycie energii za pomocą działań uzyskujących oszczędność energii, dlatego też jego stosowanie jest obowiązkowe tylko w przypadkach, gdzie wskaźniki te są istotne. Stosowanie wskaźnika w przypadku innych interwencji, gdzie możliwe są skutki emisji gazów cieplarnianych, jest opcjonalne przy użyciu metodologii opracowanej przez IZ. Wskaźnik pokaże całkowity szacowany roczny spadek na koniec okresu, a nie całkowity spadek w całym okresie.</w:t>
      </w:r>
    </w:p>
    <w:p w:rsidR="00B83EAA" w:rsidRPr="00E32852" w:rsidRDefault="00B83EAA" w:rsidP="00B83EAA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 w:rsidRPr="00E32852">
        <w:rPr>
          <w:rFonts w:asciiTheme="minorHAnsi" w:hAnsiTheme="minorHAnsi"/>
        </w:rPr>
        <w:t>W przypadku produkcji energii odnawialnej, prognoza opiera się na ilości energii pierwotnej produkowanej przez wsparte przedsiębiorstwa/</w:t>
      </w:r>
      <w:r>
        <w:rPr>
          <w:rFonts w:asciiTheme="minorHAnsi" w:hAnsiTheme="minorHAnsi"/>
        </w:rPr>
        <w:t xml:space="preserve"> </w:t>
      </w:r>
      <w:r w:rsidRPr="00E32852">
        <w:rPr>
          <w:rFonts w:asciiTheme="minorHAnsi" w:hAnsiTheme="minorHAnsi"/>
        </w:rPr>
        <w:t>podmioty w danym roku (albo rok po zakończeniu projektu lub rok kalendarzowy po zakończeniu projektu). Energia odnawialna powinna być neutralna pod względem emisji gazów cieplarnianych i powinna zastąpić produkcję energii ze źródeł nieodnawialnych. Wpływ emisji gazów cieplarnianych w przypadku energii nieodnawialnej jest szacowany poprzez całkowitą emisję przez państwo członkowskie gazów cieplarnianych na jednostkę produkcji energii nieodnawialnej.</w:t>
      </w:r>
    </w:p>
    <w:p w:rsidR="00B83EAA" w:rsidRDefault="00B83EAA" w:rsidP="00B83EAA">
      <w:pPr>
        <w:autoSpaceDE w:val="0"/>
        <w:adjustRightInd w:val="0"/>
        <w:spacing w:line="240" w:lineRule="auto"/>
        <w:jc w:val="both"/>
        <w:rPr>
          <w:rFonts w:asciiTheme="minorHAnsi" w:hAnsiTheme="minorHAnsi"/>
        </w:rPr>
      </w:pPr>
      <w:r w:rsidRPr="00E32852">
        <w:rPr>
          <w:rFonts w:asciiTheme="minorHAnsi" w:hAnsiTheme="minorHAnsi"/>
        </w:rPr>
        <w:t>W przypadku działań uzyskujących oszczędność energii, prognoza opiera się na ilości energii pierwotnej oszczędzonej w danym roku w ramach wspieranych operacji (albo rok po zakończeniu projektu, albo rok kalendarzowy po zakończeniu projektu). Zaoszczędzona energia ma zastąpić produkcję energii ze źródeł nieodnawialnych. Wpływ emisji gazów cieplarnianych w przypadku energii nieodnawialnej jest szacowany poprzez całkowitą emisję przez państwo członkowskie gazów cieplarnianych na jednostkę produkcji energii nieodnawialnej.</w:t>
      </w:r>
      <w:r>
        <w:rPr>
          <w:rFonts w:asciiTheme="minorHAnsi" w:hAnsiTheme="minorHAnsi"/>
        </w:rPr>
        <w:t>”</w:t>
      </w:r>
    </w:p>
    <w:p w:rsidR="00B83EAA" w:rsidRPr="00D523E4" w:rsidRDefault="007153B1" w:rsidP="00B83EAA">
      <w:pPr>
        <w:autoSpaceDE w:val="0"/>
        <w:adjustRightInd w:val="0"/>
        <w:spacing w:line="240" w:lineRule="auto"/>
        <w:jc w:val="both"/>
        <w:rPr>
          <w:rFonts w:asciiTheme="minorHAnsi" w:hAnsiTheme="minorHAnsi"/>
          <w:b/>
          <w:i/>
          <w:u w:val="single"/>
        </w:rPr>
      </w:pPr>
      <w:r w:rsidRPr="00D523E4">
        <w:rPr>
          <w:rFonts w:asciiTheme="minorHAnsi" w:hAnsiTheme="minorHAnsi"/>
          <w:b/>
          <w:u w:val="single"/>
        </w:rPr>
        <w:lastRenderedPageBreak/>
        <w:t xml:space="preserve">Ponieważ powyższe wskaźniki, pomimo określenia ich w RPO WD 2014 </w:t>
      </w:r>
      <w:r w:rsidR="009E64BE" w:rsidRPr="00D523E4">
        <w:rPr>
          <w:rFonts w:asciiTheme="minorHAnsi" w:hAnsiTheme="minorHAnsi"/>
          <w:b/>
          <w:u w:val="single"/>
        </w:rPr>
        <w:t>–</w:t>
      </w:r>
      <w:r w:rsidRPr="00D523E4">
        <w:rPr>
          <w:rFonts w:asciiTheme="minorHAnsi" w:hAnsiTheme="minorHAnsi"/>
          <w:b/>
          <w:u w:val="single"/>
        </w:rPr>
        <w:t xml:space="preserve"> 2020</w:t>
      </w:r>
      <w:r w:rsidR="009E64BE" w:rsidRPr="00D523E4">
        <w:rPr>
          <w:rFonts w:asciiTheme="minorHAnsi" w:hAnsiTheme="minorHAnsi"/>
          <w:b/>
          <w:u w:val="single"/>
        </w:rPr>
        <w:t>/Szczegółowym Opisie Osi Priorytetowych oraz Wspólnej Liście Wskaźników Kluczowych</w:t>
      </w:r>
      <w:r w:rsidR="00107794" w:rsidRPr="00D523E4">
        <w:rPr>
          <w:rFonts w:asciiTheme="minorHAnsi" w:hAnsiTheme="minorHAnsi"/>
          <w:b/>
          <w:u w:val="single"/>
        </w:rPr>
        <w:t xml:space="preserve"> jako wskaźników produktu</w:t>
      </w:r>
      <w:r w:rsidR="009E64BE" w:rsidRPr="00D523E4">
        <w:rPr>
          <w:rFonts w:asciiTheme="minorHAnsi" w:hAnsiTheme="minorHAnsi"/>
          <w:b/>
          <w:u w:val="single"/>
        </w:rPr>
        <w:t>, mają w istocie charakter wskaźników rezultatu, należy efekt wsparcia na poziomie projektu wykazać jak dla wskaźników rezultatu, tj.</w:t>
      </w:r>
      <w:r w:rsidR="00C86655" w:rsidRPr="00D523E4">
        <w:rPr>
          <w:rFonts w:asciiTheme="minorHAnsi" w:hAnsiTheme="minorHAnsi"/>
          <w:b/>
          <w:u w:val="single"/>
        </w:rPr>
        <w:t xml:space="preserve"> co do zasady – w okresie 12 miesięcy od zakończenia okresu realizacji projektu określonego w umowie o dofinansowaniu projektu lub, o ile wynika to ze specyfiki projektu, od uruchomienia przedsięwzięcia, przy czym osią</w:t>
      </w:r>
      <w:r w:rsidR="00EA767B">
        <w:rPr>
          <w:rFonts w:asciiTheme="minorHAnsi" w:hAnsiTheme="minorHAnsi"/>
          <w:b/>
          <w:u w:val="single"/>
        </w:rPr>
        <w:t>gnięte wartości wykazywane są w </w:t>
      </w:r>
      <w:r w:rsidR="00C86655" w:rsidRPr="00D523E4">
        <w:rPr>
          <w:rFonts w:asciiTheme="minorHAnsi" w:hAnsiTheme="minorHAnsi"/>
          <w:b/>
          <w:u w:val="single"/>
        </w:rPr>
        <w:t>korekcie do wniosku o płatność końcową.</w:t>
      </w:r>
    </w:p>
    <w:p w:rsidR="00B83EAA" w:rsidRPr="00B83EAA" w:rsidRDefault="00B83EAA" w:rsidP="00B83EAA">
      <w:pPr>
        <w:spacing w:before="120" w:after="120" w:line="240" w:lineRule="auto"/>
        <w:jc w:val="both"/>
      </w:pPr>
    </w:p>
    <w:sectPr w:rsidR="00B83EAA" w:rsidRPr="00B8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43" w:rsidRDefault="00660F43" w:rsidP="009555F6">
      <w:pPr>
        <w:spacing w:after="0" w:line="240" w:lineRule="auto"/>
      </w:pPr>
      <w:r>
        <w:separator/>
      </w:r>
    </w:p>
  </w:endnote>
  <w:endnote w:type="continuationSeparator" w:id="0">
    <w:p w:rsidR="00660F43" w:rsidRDefault="00660F43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43" w:rsidRDefault="00660F43" w:rsidP="009555F6">
      <w:pPr>
        <w:spacing w:after="0" w:line="240" w:lineRule="auto"/>
      </w:pPr>
      <w:r>
        <w:separator/>
      </w:r>
    </w:p>
  </w:footnote>
  <w:footnote w:type="continuationSeparator" w:id="0">
    <w:p w:rsidR="00660F43" w:rsidRDefault="00660F43" w:rsidP="009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4F77"/>
    <w:multiLevelType w:val="hybridMultilevel"/>
    <w:tmpl w:val="504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A4"/>
    <w:rsid w:val="00031E34"/>
    <w:rsid w:val="0004571C"/>
    <w:rsid w:val="00064C48"/>
    <w:rsid w:val="000D2F67"/>
    <w:rsid w:val="000E5F63"/>
    <w:rsid w:val="00107794"/>
    <w:rsid w:val="00146E11"/>
    <w:rsid w:val="001527D3"/>
    <w:rsid w:val="00161309"/>
    <w:rsid w:val="00186A58"/>
    <w:rsid w:val="001A1122"/>
    <w:rsid w:val="001A169E"/>
    <w:rsid w:val="001C23B9"/>
    <w:rsid w:val="001C547A"/>
    <w:rsid w:val="00200EE4"/>
    <w:rsid w:val="00203E67"/>
    <w:rsid w:val="00213657"/>
    <w:rsid w:val="002711C7"/>
    <w:rsid w:val="002C7288"/>
    <w:rsid w:val="00344DD4"/>
    <w:rsid w:val="00350452"/>
    <w:rsid w:val="003578B2"/>
    <w:rsid w:val="003618D1"/>
    <w:rsid w:val="00364766"/>
    <w:rsid w:val="003D1FB4"/>
    <w:rsid w:val="003F28CE"/>
    <w:rsid w:val="003F7674"/>
    <w:rsid w:val="004318AE"/>
    <w:rsid w:val="0046290B"/>
    <w:rsid w:val="00496692"/>
    <w:rsid w:val="004A48EF"/>
    <w:rsid w:val="004C1FF1"/>
    <w:rsid w:val="004E6540"/>
    <w:rsid w:val="005723D8"/>
    <w:rsid w:val="005934B2"/>
    <w:rsid w:val="005D05A5"/>
    <w:rsid w:val="00615BF2"/>
    <w:rsid w:val="006344E0"/>
    <w:rsid w:val="00654F26"/>
    <w:rsid w:val="0065784A"/>
    <w:rsid w:val="00660F43"/>
    <w:rsid w:val="0067030B"/>
    <w:rsid w:val="00680041"/>
    <w:rsid w:val="006C0EC0"/>
    <w:rsid w:val="006C64F2"/>
    <w:rsid w:val="006E1137"/>
    <w:rsid w:val="006F7C0F"/>
    <w:rsid w:val="007120E1"/>
    <w:rsid w:val="007153B1"/>
    <w:rsid w:val="00716DB0"/>
    <w:rsid w:val="007A3DAD"/>
    <w:rsid w:val="007A40EA"/>
    <w:rsid w:val="007B26E1"/>
    <w:rsid w:val="007B278F"/>
    <w:rsid w:val="007C1B11"/>
    <w:rsid w:val="007D1B5E"/>
    <w:rsid w:val="00843237"/>
    <w:rsid w:val="008519BF"/>
    <w:rsid w:val="00894D5E"/>
    <w:rsid w:val="008B107B"/>
    <w:rsid w:val="008E14A4"/>
    <w:rsid w:val="009006BE"/>
    <w:rsid w:val="009117C6"/>
    <w:rsid w:val="00914951"/>
    <w:rsid w:val="009474BF"/>
    <w:rsid w:val="009555F6"/>
    <w:rsid w:val="00966C5E"/>
    <w:rsid w:val="009877DA"/>
    <w:rsid w:val="009C13BF"/>
    <w:rsid w:val="009D7209"/>
    <w:rsid w:val="009E64BE"/>
    <w:rsid w:val="00A076F5"/>
    <w:rsid w:val="00A31A05"/>
    <w:rsid w:val="00A40DA4"/>
    <w:rsid w:val="00AE0049"/>
    <w:rsid w:val="00AE1021"/>
    <w:rsid w:val="00B02771"/>
    <w:rsid w:val="00B3772E"/>
    <w:rsid w:val="00B5746F"/>
    <w:rsid w:val="00B83EAA"/>
    <w:rsid w:val="00B86B5C"/>
    <w:rsid w:val="00BE58F1"/>
    <w:rsid w:val="00BF720F"/>
    <w:rsid w:val="00C15275"/>
    <w:rsid w:val="00C44E41"/>
    <w:rsid w:val="00C504B2"/>
    <w:rsid w:val="00C76E01"/>
    <w:rsid w:val="00C84D95"/>
    <w:rsid w:val="00C86655"/>
    <w:rsid w:val="00CB2000"/>
    <w:rsid w:val="00CB2B04"/>
    <w:rsid w:val="00D23174"/>
    <w:rsid w:val="00D507A9"/>
    <w:rsid w:val="00D523E4"/>
    <w:rsid w:val="00D76206"/>
    <w:rsid w:val="00D8158F"/>
    <w:rsid w:val="00DA1242"/>
    <w:rsid w:val="00DB174D"/>
    <w:rsid w:val="00DE4D0A"/>
    <w:rsid w:val="00DF20EB"/>
    <w:rsid w:val="00DF469B"/>
    <w:rsid w:val="00E04F5A"/>
    <w:rsid w:val="00E133D0"/>
    <w:rsid w:val="00E4157F"/>
    <w:rsid w:val="00EA0D84"/>
    <w:rsid w:val="00EA767B"/>
    <w:rsid w:val="00EC720C"/>
    <w:rsid w:val="00EE17D5"/>
    <w:rsid w:val="00EE331F"/>
    <w:rsid w:val="00F1673F"/>
    <w:rsid w:val="00F77823"/>
    <w:rsid w:val="00FC197D"/>
    <w:rsid w:val="00FD2DD7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A0040-962F-4090-B849-611E09D5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D8ED-9E27-4A3F-A8F7-2917B82F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Katarzyna Lisiecka-Mika</cp:lastModifiedBy>
  <cp:revision>7</cp:revision>
  <cp:lastPrinted>2016-02-18T13:23:00Z</cp:lastPrinted>
  <dcterms:created xsi:type="dcterms:W3CDTF">2016-02-25T13:56:00Z</dcterms:created>
  <dcterms:modified xsi:type="dcterms:W3CDTF">2016-02-26T08:31:00Z</dcterms:modified>
</cp:coreProperties>
</file>