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EA3" w:rsidRPr="003002F9" w:rsidRDefault="00FF7950" w:rsidP="00B86F40">
      <w:pPr>
        <w:pStyle w:val="Nagwek"/>
        <w:spacing w:before="120" w:after="120"/>
        <w:jc w:val="center"/>
        <w:rPr>
          <w:b/>
          <w:sz w:val="24"/>
        </w:rPr>
      </w:pPr>
      <w:bookmarkStart w:id="0" w:name="_GoBack"/>
      <w:bookmarkEnd w:id="0"/>
      <w:r w:rsidRPr="003002F9">
        <w:rPr>
          <w:b/>
          <w:sz w:val="24"/>
        </w:rPr>
        <w:t>W</w:t>
      </w:r>
      <w:r w:rsidR="006C6E04" w:rsidRPr="003002F9">
        <w:rPr>
          <w:b/>
          <w:sz w:val="24"/>
        </w:rPr>
        <w:t>yjaśnieni</w:t>
      </w:r>
      <w:r w:rsidRPr="003002F9">
        <w:rPr>
          <w:b/>
          <w:sz w:val="24"/>
        </w:rPr>
        <w:t>e</w:t>
      </w:r>
      <w:r w:rsidR="00AB2932" w:rsidRPr="003002F9">
        <w:rPr>
          <w:b/>
          <w:sz w:val="24"/>
        </w:rPr>
        <w:t xml:space="preserve"> do</w:t>
      </w:r>
      <w:r w:rsidR="00D62EA3" w:rsidRPr="003002F9">
        <w:rPr>
          <w:b/>
          <w:sz w:val="24"/>
        </w:rPr>
        <w:t xml:space="preserve"> ogłoszo</w:t>
      </w:r>
      <w:r w:rsidR="00545C45">
        <w:rPr>
          <w:b/>
          <w:sz w:val="24"/>
        </w:rPr>
        <w:t>nego</w:t>
      </w:r>
      <w:r w:rsidR="00AB2932" w:rsidRPr="003002F9">
        <w:rPr>
          <w:b/>
          <w:sz w:val="24"/>
        </w:rPr>
        <w:t xml:space="preserve"> nabor</w:t>
      </w:r>
      <w:r w:rsidR="00545C45">
        <w:rPr>
          <w:b/>
          <w:sz w:val="24"/>
        </w:rPr>
        <w:t xml:space="preserve">u </w:t>
      </w:r>
      <w:r w:rsidR="00AB2932" w:rsidRPr="003002F9">
        <w:rPr>
          <w:b/>
          <w:sz w:val="24"/>
        </w:rPr>
        <w:t>w ramach działa</w:t>
      </w:r>
      <w:r w:rsidR="00545C45">
        <w:rPr>
          <w:b/>
          <w:sz w:val="24"/>
        </w:rPr>
        <w:t>nia</w:t>
      </w:r>
      <w:r w:rsidR="00AB2932" w:rsidRPr="003002F9">
        <w:rPr>
          <w:b/>
          <w:sz w:val="24"/>
        </w:rPr>
        <w:t xml:space="preserve"> </w:t>
      </w:r>
      <w:r w:rsidR="00545C45">
        <w:rPr>
          <w:b/>
          <w:sz w:val="24"/>
        </w:rPr>
        <w:t>3.3</w:t>
      </w:r>
      <w:r w:rsidR="00AB2932" w:rsidRPr="003002F9">
        <w:rPr>
          <w:b/>
          <w:sz w:val="24"/>
        </w:rPr>
        <w:t xml:space="preserve"> </w:t>
      </w:r>
    </w:p>
    <w:p w:rsidR="006C6E04" w:rsidRPr="006C6E04" w:rsidRDefault="00AB2932" w:rsidP="00B86F40">
      <w:pPr>
        <w:pStyle w:val="Nagwek"/>
        <w:spacing w:before="120" w:after="120"/>
        <w:jc w:val="center"/>
        <w:rPr>
          <w:rFonts w:cs="Arial"/>
          <w:b/>
          <w:sz w:val="32"/>
          <w:szCs w:val="32"/>
        </w:rPr>
      </w:pPr>
      <w:r w:rsidRPr="003002F9">
        <w:rPr>
          <w:b/>
          <w:sz w:val="24"/>
        </w:rPr>
        <w:t>RPO WD 2014-2020</w:t>
      </w:r>
    </w:p>
    <w:p w:rsidR="006C6E04" w:rsidRPr="008473DE" w:rsidRDefault="006C6E04" w:rsidP="00B86F40">
      <w:pPr>
        <w:pStyle w:val="Nagwek"/>
        <w:spacing w:before="120" w:after="120"/>
        <w:jc w:val="both"/>
        <w:rPr>
          <w:rFonts w:cs="Arial"/>
        </w:rPr>
      </w:pPr>
    </w:p>
    <w:p w:rsidR="00FE70F9" w:rsidRPr="008473DE" w:rsidRDefault="006C6E04" w:rsidP="00070E14">
      <w:pPr>
        <w:spacing w:after="0" w:line="240" w:lineRule="auto"/>
        <w:contextualSpacing/>
        <w:jc w:val="both"/>
        <w:rPr>
          <w:rFonts w:cs="Arial"/>
        </w:rPr>
      </w:pPr>
      <w:r w:rsidRPr="008473DE">
        <w:rPr>
          <w:rFonts w:cs="Arial"/>
        </w:rPr>
        <w:t xml:space="preserve">W związku z pojawiającymi się wątpliwościami potencjalnych beneficjentów </w:t>
      </w:r>
      <w:r w:rsidR="002F492C" w:rsidRPr="008473DE">
        <w:t xml:space="preserve">w zakresie interpretacji </w:t>
      </w:r>
      <w:r w:rsidR="00D62EA3" w:rsidRPr="008473DE">
        <w:t xml:space="preserve">przedsięwzięć, dla których należy złożyć następujące załączniki </w:t>
      </w:r>
      <w:r w:rsidR="00532AC1" w:rsidRPr="008473DE">
        <w:t xml:space="preserve">środowiskowe </w:t>
      </w:r>
      <w:r w:rsidR="00B86F40">
        <w:t>do wniosku o </w:t>
      </w:r>
      <w:r w:rsidR="00D62EA3" w:rsidRPr="008473DE">
        <w:t>dofinansowanie</w:t>
      </w:r>
      <w:r w:rsidR="002F492C" w:rsidRPr="008473DE">
        <w:t>:</w:t>
      </w:r>
      <w:r w:rsidR="002F492C" w:rsidRPr="008473DE">
        <w:rPr>
          <w:rFonts w:cs="Arial"/>
        </w:rPr>
        <w:t xml:space="preserve"> </w:t>
      </w:r>
    </w:p>
    <w:p w:rsidR="00D62EA3" w:rsidRPr="008473DE" w:rsidRDefault="00D62EA3" w:rsidP="00070E14">
      <w:pPr>
        <w:pStyle w:val="Akapitzlist"/>
        <w:numPr>
          <w:ilvl w:val="0"/>
          <w:numId w:val="6"/>
        </w:numPr>
        <w:spacing w:before="0" w:line="240" w:lineRule="auto"/>
        <w:ind w:left="357" w:hanging="357"/>
        <w:contextualSpacing/>
        <w:jc w:val="both"/>
        <w:rPr>
          <w:rFonts w:asciiTheme="minorHAnsi" w:hAnsiTheme="minorHAnsi"/>
          <w:szCs w:val="22"/>
        </w:rPr>
      </w:pPr>
      <w:r w:rsidRPr="008473DE">
        <w:rPr>
          <w:rFonts w:asciiTheme="minorHAnsi" w:hAnsiTheme="minorHAnsi"/>
          <w:szCs w:val="22"/>
        </w:rPr>
        <w:t>Oświadczenie „Analiza oddziaływania na środowisko, z uwzględnieniem potrzeb dotyczących przystosowania się do zmiany klimatu i łagodzenia zmiany klimatu, a także odporności na klęski żywiołowe”</w:t>
      </w:r>
    </w:p>
    <w:p w:rsidR="00D62EA3" w:rsidRPr="008473DE" w:rsidRDefault="00D62EA3" w:rsidP="00B86F4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0" w:line="240" w:lineRule="auto"/>
        <w:contextualSpacing/>
        <w:jc w:val="both"/>
        <w:rPr>
          <w:rFonts w:asciiTheme="minorHAnsi" w:hAnsiTheme="minorHAnsi"/>
          <w:szCs w:val="22"/>
        </w:rPr>
      </w:pPr>
      <w:r w:rsidRPr="008473DE">
        <w:rPr>
          <w:rFonts w:asciiTheme="minorHAnsi" w:hAnsiTheme="minorHAnsi"/>
          <w:szCs w:val="22"/>
        </w:rPr>
        <w:t>Deklaracja organu odpowiedzialnego za monitorowanie obszarów Natura 2000.</w:t>
      </w:r>
    </w:p>
    <w:p w:rsidR="00D62EA3" w:rsidRPr="008473DE" w:rsidRDefault="00D62EA3" w:rsidP="00B86F4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0" w:line="240" w:lineRule="auto"/>
        <w:contextualSpacing/>
        <w:jc w:val="both"/>
        <w:rPr>
          <w:rFonts w:asciiTheme="minorHAnsi" w:hAnsiTheme="minorHAnsi"/>
          <w:szCs w:val="22"/>
        </w:rPr>
      </w:pPr>
      <w:r w:rsidRPr="008473DE">
        <w:rPr>
          <w:rFonts w:asciiTheme="minorHAnsi" w:hAnsiTheme="minorHAnsi"/>
          <w:szCs w:val="22"/>
        </w:rPr>
        <w:t xml:space="preserve">Deklaracja właściwego organu odpowiedzialnego za gospodarkę wodną. </w:t>
      </w:r>
    </w:p>
    <w:p w:rsidR="003002F9" w:rsidRPr="003002F9" w:rsidRDefault="003002F9" w:rsidP="00B86F40">
      <w:pPr>
        <w:spacing w:line="240" w:lineRule="auto"/>
        <w:jc w:val="both"/>
        <w:rPr>
          <w:rFonts w:eastAsia="Times New Roman" w:cs="Times New Roman"/>
          <w:lang w:eastAsia="pl-PL"/>
        </w:rPr>
      </w:pPr>
      <w:r w:rsidRPr="008473DE">
        <w:rPr>
          <w:rFonts w:cs="Arial"/>
        </w:rPr>
        <w:t>i</w:t>
      </w:r>
      <w:r w:rsidR="00D62EA3" w:rsidRPr="008473DE">
        <w:rPr>
          <w:rFonts w:cs="Arial"/>
        </w:rPr>
        <w:t xml:space="preserve">nformujemy, iż załączniki powyższe dotyczą przedsięwzięć w rozumieniu pkt 13 ust. 1 art. 3 ustawy </w:t>
      </w:r>
      <w:r w:rsidR="004C0EE1">
        <w:rPr>
          <w:rFonts w:eastAsia="Times New Roman" w:cs="Times New Roman"/>
          <w:lang w:eastAsia="pl-PL"/>
        </w:rPr>
        <w:t>z </w:t>
      </w:r>
      <w:r w:rsidRPr="008473DE">
        <w:rPr>
          <w:rFonts w:eastAsia="Times New Roman" w:cs="Times New Roman"/>
          <w:lang w:eastAsia="pl-PL"/>
        </w:rPr>
        <w:t xml:space="preserve">dnia 3 października 2008 r. </w:t>
      </w:r>
      <w:r w:rsidRPr="003002F9">
        <w:rPr>
          <w:rFonts w:eastAsia="Times New Roman" w:cs="Times New Roman"/>
          <w:bCs/>
          <w:lang w:eastAsia="pl-PL"/>
        </w:rPr>
        <w:t>o udostępnianiu informacji o środowisku i jego ochronie, udziale społeczeństwa w ochronie środowiska oraz o ocenach oddziaływania na środowisko</w:t>
      </w:r>
      <w:r w:rsidRPr="008473DE">
        <w:rPr>
          <w:rFonts w:eastAsia="Times New Roman" w:cs="Times New Roman"/>
          <w:bCs/>
          <w:lang w:eastAsia="pl-PL"/>
        </w:rPr>
        <w:t xml:space="preserve">, tj. </w:t>
      </w:r>
      <w:r w:rsidRPr="00B86F40">
        <w:rPr>
          <w:b/>
        </w:rPr>
        <w:t>zamierzeń budowlanych</w:t>
      </w:r>
      <w:r w:rsidRPr="008473DE">
        <w:t xml:space="preserve"> lub innej ingerencji w środowisko polegającej na przekształceniu lub zmianie sposobu wykorzystania terenu, w tym również na wydobywaniu kopalin; przedsięwzięcia powiązane technologicznie kwalifikuje się jako jedno przedsięwzięcie, także jeżeli są one realizowane przez różne podmioty. </w:t>
      </w:r>
    </w:p>
    <w:p w:rsidR="003002F9" w:rsidRPr="008473DE" w:rsidRDefault="003002F9" w:rsidP="00B86F40">
      <w:pPr>
        <w:spacing w:line="240" w:lineRule="auto"/>
        <w:jc w:val="both"/>
        <w:rPr>
          <w:rFonts w:eastAsia="Times New Roman" w:cs="Times New Roman"/>
          <w:b/>
          <w:lang w:eastAsia="pl-PL"/>
        </w:rPr>
      </w:pPr>
      <w:r w:rsidRPr="008473DE">
        <w:rPr>
          <w:rFonts w:eastAsia="Times New Roman" w:cs="Times New Roman"/>
          <w:lang w:eastAsia="pl-PL"/>
        </w:rPr>
        <w:t xml:space="preserve">Ponadto zwracamy uwagę, iż </w:t>
      </w:r>
      <w:r w:rsidRPr="008473DE">
        <w:rPr>
          <w:rFonts w:eastAsia="Times New Roman" w:cs="Times New Roman"/>
          <w:b/>
          <w:lang w:eastAsia="pl-PL"/>
        </w:rPr>
        <w:t>remon</w:t>
      </w:r>
      <w:r w:rsidRPr="003002F9">
        <w:rPr>
          <w:rFonts w:eastAsia="Times New Roman" w:cs="Times New Roman"/>
          <w:b/>
          <w:lang w:eastAsia="pl-PL"/>
        </w:rPr>
        <w:t>ty</w:t>
      </w:r>
      <w:r w:rsidRPr="003002F9">
        <w:rPr>
          <w:rFonts w:eastAsia="Times New Roman" w:cs="Times New Roman"/>
          <w:lang w:eastAsia="pl-PL"/>
        </w:rPr>
        <w:t xml:space="preserve"> w</w:t>
      </w:r>
      <w:r w:rsidRPr="008473DE">
        <w:rPr>
          <w:rFonts w:eastAsia="Times New Roman" w:cs="Times New Roman"/>
          <w:lang w:eastAsia="pl-PL"/>
        </w:rPr>
        <w:t xml:space="preserve"> </w:t>
      </w:r>
      <w:r w:rsidRPr="003002F9">
        <w:rPr>
          <w:rFonts w:eastAsia="Times New Roman" w:cs="Times New Roman"/>
          <w:lang w:eastAsia="pl-PL"/>
        </w:rPr>
        <w:t xml:space="preserve">rozumieniu </w:t>
      </w:r>
      <w:r w:rsidRPr="008473DE">
        <w:rPr>
          <w:rFonts w:eastAsia="Times New Roman" w:cs="Times New Roman"/>
          <w:lang w:eastAsia="pl-PL"/>
        </w:rPr>
        <w:t xml:space="preserve"> </w:t>
      </w:r>
      <w:r w:rsidRPr="003002F9">
        <w:rPr>
          <w:rFonts w:eastAsia="Times New Roman" w:cs="Times New Roman"/>
          <w:lang w:eastAsia="pl-PL"/>
        </w:rPr>
        <w:t>ustawy z dnia 7 lipca 1994 r</w:t>
      </w:r>
      <w:r w:rsidR="008473DE" w:rsidRPr="008473DE">
        <w:rPr>
          <w:rFonts w:eastAsia="Times New Roman" w:cs="Times New Roman"/>
          <w:lang w:eastAsia="pl-PL"/>
        </w:rPr>
        <w:t>.</w:t>
      </w:r>
      <w:r w:rsidRPr="008473DE">
        <w:rPr>
          <w:rFonts w:eastAsia="Times New Roman" w:cs="Times New Roman"/>
          <w:lang w:eastAsia="pl-PL"/>
        </w:rPr>
        <w:t xml:space="preserve"> </w:t>
      </w:r>
      <w:r w:rsidRPr="003002F9">
        <w:rPr>
          <w:rFonts w:eastAsia="Times New Roman" w:cs="Times New Roman"/>
          <w:lang w:eastAsia="pl-PL"/>
        </w:rPr>
        <w:t>Prawo budowlane</w:t>
      </w:r>
      <w:r w:rsidRPr="008473DE">
        <w:rPr>
          <w:rFonts w:eastAsia="Times New Roman" w:cs="Times New Roman"/>
          <w:lang w:eastAsia="pl-PL"/>
        </w:rPr>
        <w:t xml:space="preserve"> </w:t>
      </w:r>
      <w:r w:rsidRPr="003002F9">
        <w:rPr>
          <w:rFonts w:eastAsia="Times New Roman" w:cs="Times New Roman"/>
          <w:b/>
          <w:lang w:eastAsia="pl-PL"/>
        </w:rPr>
        <w:t xml:space="preserve">nie </w:t>
      </w:r>
      <w:r w:rsidR="00BA5E9E">
        <w:rPr>
          <w:rFonts w:eastAsia="Times New Roman" w:cs="Times New Roman"/>
          <w:b/>
          <w:lang w:eastAsia="pl-PL"/>
        </w:rPr>
        <w:t xml:space="preserve">stanowią </w:t>
      </w:r>
      <w:r w:rsidRPr="003002F9">
        <w:rPr>
          <w:rFonts w:eastAsia="Times New Roman" w:cs="Times New Roman"/>
          <w:b/>
          <w:lang w:eastAsia="pl-PL"/>
        </w:rPr>
        <w:t>przedsięwzię</w:t>
      </w:r>
      <w:r w:rsidR="00BA5E9E">
        <w:rPr>
          <w:rFonts w:eastAsia="Times New Roman" w:cs="Times New Roman"/>
          <w:b/>
          <w:lang w:eastAsia="pl-PL"/>
        </w:rPr>
        <w:t xml:space="preserve">ć </w:t>
      </w:r>
      <w:r w:rsidR="00070E14">
        <w:rPr>
          <w:rFonts w:eastAsia="Times New Roman" w:cs="Times New Roman"/>
          <w:lang w:eastAsia="pl-PL"/>
        </w:rPr>
        <w:t xml:space="preserve">w rozumieniu ww. </w:t>
      </w:r>
      <w:r w:rsidR="00BA5E9E" w:rsidRPr="00BA5E9E">
        <w:rPr>
          <w:rFonts w:eastAsia="Times New Roman" w:cs="Times New Roman"/>
          <w:lang w:eastAsia="pl-PL"/>
        </w:rPr>
        <w:t>definicj</w:t>
      </w:r>
      <w:r w:rsidR="00070E14">
        <w:rPr>
          <w:rFonts w:eastAsia="Times New Roman" w:cs="Times New Roman"/>
          <w:lang w:eastAsia="pl-PL"/>
        </w:rPr>
        <w:t>i</w:t>
      </w:r>
      <w:r w:rsidRPr="008473DE">
        <w:rPr>
          <w:rFonts w:eastAsia="Times New Roman" w:cs="Times New Roman"/>
          <w:lang w:eastAsia="pl-PL"/>
        </w:rPr>
        <w:t xml:space="preserve">. </w:t>
      </w:r>
    </w:p>
    <w:p w:rsidR="008473DE" w:rsidRPr="008473DE" w:rsidRDefault="003002F9" w:rsidP="00B86F40">
      <w:pPr>
        <w:spacing w:before="100" w:beforeAutospacing="1" w:after="100" w:afterAutospacing="1" w:line="240" w:lineRule="auto"/>
        <w:jc w:val="both"/>
      </w:pPr>
      <w:r w:rsidRPr="008473DE">
        <w:rPr>
          <w:rFonts w:eastAsia="Times New Roman" w:cs="Times New Roman"/>
          <w:b/>
          <w:lang w:eastAsia="pl-PL"/>
        </w:rPr>
        <w:t xml:space="preserve">Dla projektów, w ramach których nie będą realizowane przedsięwzięcia zgodne z powyższą definicją, nie ma obowiązku dołączania do wniosku o dofinansowanie wymienionych załączników środowiskowych. </w:t>
      </w:r>
      <w:r w:rsidR="008473DE" w:rsidRPr="008473DE">
        <w:rPr>
          <w:rFonts w:eastAsia="Times New Roman" w:cs="Times New Roman"/>
          <w:b/>
          <w:lang w:eastAsia="pl-PL"/>
        </w:rPr>
        <w:t xml:space="preserve"> </w:t>
      </w:r>
      <w:r w:rsidR="008473DE" w:rsidRPr="008473DE">
        <w:rPr>
          <w:rFonts w:eastAsia="Times New Roman" w:cs="Times New Roman"/>
          <w:lang w:eastAsia="pl-PL"/>
        </w:rPr>
        <w:t>Ponadto</w:t>
      </w:r>
      <w:r w:rsidR="00B86F40">
        <w:rPr>
          <w:rFonts w:eastAsia="Times New Roman" w:cs="Times New Roman"/>
          <w:lang w:eastAsia="pl-PL"/>
        </w:rPr>
        <w:t>,</w:t>
      </w:r>
      <w:r w:rsidR="008473DE">
        <w:rPr>
          <w:rFonts w:eastAsia="Times New Roman" w:cs="Times New Roman"/>
          <w:b/>
          <w:lang w:eastAsia="pl-PL"/>
        </w:rPr>
        <w:t xml:space="preserve"> </w:t>
      </w:r>
      <w:r w:rsidR="008473DE" w:rsidRPr="008473DE">
        <w:rPr>
          <w:rFonts w:eastAsia="Times New Roman" w:cs="Times New Roman"/>
          <w:lang w:eastAsia="pl-PL"/>
        </w:rPr>
        <w:t>w</w:t>
      </w:r>
      <w:r w:rsidR="008473DE" w:rsidRPr="008473DE">
        <w:rPr>
          <w:color w:val="000000"/>
        </w:rPr>
        <w:t xml:space="preserve"> przypadku inwestycji o charakterze nieinfrastrukturalnym (np. zakup sprzętu, urządzeń, taboru) albo tzw. projektów „miękkich” (np. szkolenia, kampania edukacyjna), dołączenie załączników również nie jest konieczne. </w:t>
      </w:r>
    </w:p>
    <w:p w:rsidR="003002F9" w:rsidRPr="008473DE" w:rsidRDefault="00070E14" w:rsidP="00B86F40">
      <w:pPr>
        <w:spacing w:after="0" w:line="240" w:lineRule="auto"/>
        <w:jc w:val="both"/>
        <w:rPr>
          <w:rFonts w:eastAsia="Times New Roman" w:cs="Times New Roman"/>
          <w:b/>
          <w:lang w:eastAsia="pl-PL"/>
        </w:rPr>
      </w:pPr>
      <w:r>
        <w:rPr>
          <w:rFonts w:eastAsia="Times New Roman" w:cs="Times New Roman"/>
          <w:b/>
          <w:lang w:eastAsia="pl-PL"/>
        </w:rPr>
        <w:t xml:space="preserve">W przypadku, gdy </w:t>
      </w:r>
      <w:r w:rsidR="009F155E">
        <w:rPr>
          <w:rFonts w:eastAsia="Times New Roman" w:cs="Times New Roman"/>
          <w:b/>
          <w:lang w:eastAsia="pl-PL"/>
        </w:rPr>
        <w:t>w zakresie projektu realizowane</w:t>
      </w:r>
      <w:r>
        <w:rPr>
          <w:rFonts w:eastAsia="Times New Roman" w:cs="Times New Roman"/>
          <w:b/>
          <w:lang w:eastAsia="pl-PL"/>
        </w:rPr>
        <w:t>/planowane jest przedsięwzięcie spełniające definicję ww. z</w:t>
      </w:r>
      <w:r w:rsidR="00532AC1" w:rsidRPr="008473DE">
        <w:rPr>
          <w:rFonts w:eastAsia="Times New Roman" w:cs="Times New Roman"/>
          <w:b/>
          <w:lang w:eastAsia="pl-PL"/>
        </w:rPr>
        <w:t xml:space="preserve">astosowanie mają </w:t>
      </w:r>
      <w:r w:rsidR="008473DE">
        <w:rPr>
          <w:rFonts w:eastAsia="Times New Roman" w:cs="Times New Roman"/>
          <w:b/>
          <w:lang w:eastAsia="pl-PL"/>
        </w:rPr>
        <w:t xml:space="preserve">również </w:t>
      </w:r>
      <w:r w:rsidR="00532AC1" w:rsidRPr="008473DE">
        <w:rPr>
          <w:rFonts w:eastAsia="Times New Roman" w:cs="Times New Roman"/>
          <w:b/>
          <w:lang w:eastAsia="pl-PL"/>
        </w:rPr>
        <w:t>zapisy szczegółowe zawarte w instrukcjach</w:t>
      </w:r>
      <w:r w:rsidR="008473DE" w:rsidRPr="008473DE">
        <w:rPr>
          <w:rFonts w:eastAsia="Times New Roman" w:cs="Times New Roman"/>
          <w:b/>
          <w:lang w:eastAsia="pl-PL"/>
        </w:rPr>
        <w:t xml:space="preserve"> do przedmiotowych załączników:</w:t>
      </w:r>
    </w:p>
    <w:p w:rsidR="008473DE" w:rsidRPr="008473DE" w:rsidRDefault="008473DE" w:rsidP="00B86F4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0" w:after="100" w:afterAutospacing="1" w:line="240" w:lineRule="auto"/>
        <w:ind w:left="357" w:hanging="357"/>
        <w:jc w:val="both"/>
        <w:rPr>
          <w:rFonts w:asciiTheme="minorHAnsi" w:hAnsiTheme="minorHAnsi"/>
          <w:szCs w:val="22"/>
        </w:rPr>
      </w:pPr>
      <w:r w:rsidRPr="008473DE">
        <w:rPr>
          <w:rFonts w:asciiTheme="minorHAnsi" w:hAnsiTheme="minorHAnsi" w:cs="Arial"/>
          <w:szCs w:val="22"/>
        </w:rPr>
        <w:t>„</w:t>
      </w:r>
      <w:r w:rsidRPr="008473DE">
        <w:rPr>
          <w:rFonts w:asciiTheme="minorHAnsi" w:hAnsiTheme="minorHAnsi"/>
          <w:szCs w:val="22"/>
        </w:rPr>
        <w:t xml:space="preserve">Deklaracja organu odpowiedzialnego za monitorowanie obszarów Natura 2000” </w:t>
      </w:r>
      <w:r w:rsidRPr="008473DE">
        <w:rPr>
          <w:rFonts w:asciiTheme="minorHAnsi" w:hAnsiTheme="minorHAnsi"/>
          <w:color w:val="000000"/>
          <w:szCs w:val="22"/>
        </w:rPr>
        <w:t xml:space="preserve">dotyczy dodatkowo przedsięwzięć nie zakwalifikowanych do przedsięwzięć mogących znacząco oddziaływać na środowisko (zgodnie z  rozporządzeniem Rady Ministrów z dnia 9 listopada 2010 r. w sprawie przedsięwzięć mogących znacząco oddziaływać na środowisko) oraz nie dotyczy przedsięwzięć, dla których przeprowadzono ocenę oddziaływania przedsięwzięcia na obszar Natura 2000. </w:t>
      </w:r>
    </w:p>
    <w:p w:rsidR="008473DE" w:rsidRPr="00B86F40" w:rsidRDefault="008473DE" w:rsidP="00B86F4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100" w:beforeAutospacing="1" w:afterAutospacing="1" w:line="240" w:lineRule="auto"/>
        <w:contextualSpacing/>
        <w:jc w:val="both"/>
        <w:rPr>
          <w:rFonts w:asciiTheme="minorHAnsi" w:hAnsiTheme="minorHAnsi"/>
          <w:szCs w:val="22"/>
        </w:rPr>
      </w:pPr>
      <w:r w:rsidRPr="008473DE">
        <w:rPr>
          <w:rFonts w:asciiTheme="minorHAnsi" w:hAnsiTheme="minorHAnsi"/>
          <w:szCs w:val="22"/>
        </w:rPr>
        <w:t xml:space="preserve">Deklaracja właściwego organu odpowiedzialnego za gospodarkę wodną dotyczy dodatkowo </w:t>
      </w:r>
      <w:r w:rsidRPr="008473DE">
        <w:rPr>
          <w:rFonts w:asciiTheme="minorHAnsi" w:hAnsiTheme="minorHAnsi"/>
          <w:color w:val="000000"/>
          <w:szCs w:val="22"/>
        </w:rPr>
        <w:t xml:space="preserve">przedsięwzięć nie zakwalifikowanych do przedsięwzięć mogących znacząco oddziaływać na środowisko (zgodnie z  rozporządzeniem Rady Ministrów z dnia 9 listopada 2010 r. w sprawie przedsięwzięć mogących znacząco oddziaływać na środowisko), które </w:t>
      </w:r>
      <w:r w:rsidRPr="008473DE">
        <w:rPr>
          <w:rFonts w:ascii="Calibri" w:hAnsi="Calibri" w:cs="Arial"/>
          <w:szCs w:val="22"/>
        </w:rPr>
        <w:t xml:space="preserve">nie pogarszają stanu jednolitych części wód ani nie uniemożliwiają osiągnięcia dobrego stanu/potencjału. </w:t>
      </w:r>
    </w:p>
    <w:p w:rsidR="00B86F40" w:rsidRPr="00B86F40" w:rsidRDefault="00B86F40" w:rsidP="009F155E">
      <w:pPr>
        <w:autoSpaceDE w:val="0"/>
        <w:autoSpaceDN w:val="0"/>
        <w:adjustRightInd w:val="0"/>
        <w:spacing w:before="100" w:beforeAutospacing="1" w:afterAutospacing="1" w:line="240" w:lineRule="auto"/>
        <w:contextualSpacing/>
        <w:jc w:val="both"/>
      </w:pPr>
      <w:r>
        <w:t xml:space="preserve">Zagadnienia wymienione w pkt. A i B winny być uregulowane w uzasadnieniu do decyzji środowiskowej jeśli projekt dotyczy przedsięwzięć zakwalifikowanych </w:t>
      </w:r>
      <w:r w:rsidRPr="008473DE">
        <w:rPr>
          <w:color w:val="000000"/>
        </w:rPr>
        <w:t>do przedsięwzięć mogących znacząco oddziaływać na środowisko (zgodnie z  r</w:t>
      </w:r>
      <w:r>
        <w:rPr>
          <w:color w:val="000000"/>
        </w:rPr>
        <w:t>ozporządzeniem Rady Ministrów z </w:t>
      </w:r>
      <w:r w:rsidRPr="008473DE">
        <w:rPr>
          <w:color w:val="000000"/>
        </w:rPr>
        <w:t>dnia 9 listopada 2010 r. w sprawie przedsięwzięć mogących znacząco oddziaływać na środowisko)</w:t>
      </w:r>
      <w:r>
        <w:t xml:space="preserve">. </w:t>
      </w:r>
    </w:p>
    <w:sectPr w:rsidR="00B86F40" w:rsidRPr="00B86F40" w:rsidSect="009F155E">
      <w:headerReference w:type="default" r:id="rId7"/>
      <w:pgSz w:w="11906" w:h="16838"/>
      <w:pgMar w:top="127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0E94" w:rsidRDefault="001D0E94" w:rsidP="003002F9">
      <w:pPr>
        <w:spacing w:after="0" w:line="240" w:lineRule="auto"/>
      </w:pPr>
      <w:r>
        <w:separator/>
      </w:r>
    </w:p>
  </w:endnote>
  <w:endnote w:type="continuationSeparator" w:id="0">
    <w:p w:rsidR="001D0E94" w:rsidRDefault="001D0E94" w:rsidP="00300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0E94" w:rsidRDefault="001D0E94" w:rsidP="003002F9">
      <w:pPr>
        <w:spacing w:after="0" w:line="240" w:lineRule="auto"/>
      </w:pPr>
      <w:r>
        <w:separator/>
      </w:r>
    </w:p>
  </w:footnote>
  <w:footnote w:type="continuationSeparator" w:id="0">
    <w:p w:rsidR="001D0E94" w:rsidRDefault="001D0E94" w:rsidP="003002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02F9" w:rsidRDefault="003002F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21AEE436" wp14:editId="4D75BC77">
          <wp:simplePos x="0" y="0"/>
          <wp:positionH relativeFrom="column">
            <wp:posOffset>81915</wp:posOffset>
          </wp:positionH>
          <wp:positionV relativeFrom="paragraph">
            <wp:posOffset>-467731</wp:posOffset>
          </wp:positionV>
          <wp:extent cx="5760720" cy="944880"/>
          <wp:effectExtent l="0" t="0" r="0" b="7620"/>
          <wp:wrapNone/>
          <wp:docPr id="1" name="Obraz 1" descr="C:\Users\bradziwill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bradziwill\Desktop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44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5270B"/>
    <w:multiLevelType w:val="hybridMultilevel"/>
    <w:tmpl w:val="51FA5ACC"/>
    <w:lvl w:ilvl="0" w:tplc="C3C2768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F90126"/>
    <w:multiLevelType w:val="hybridMultilevel"/>
    <w:tmpl w:val="82B24A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886067"/>
    <w:multiLevelType w:val="hybridMultilevel"/>
    <w:tmpl w:val="84124AD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5B32A0"/>
    <w:multiLevelType w:val="hybridMultilevel"/>
    <w:tmpl w:val="F79CBB2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EB40FB5"/>
    <w:multiLevelType w:val="hybridMultilevel"/>
    <w:tmpl w:val="24E4BFF8"/>
    <w:lvl w:ilvl="0" w:tplc="2570BD28">
      <w:start w:val="1"/>
      <w:numFmt w:val="upperLetter"/>
      <w:lvlText w:val="%1."/>
      <w:lvlJc w:val="left"/>
      <w:pPr>
        <w:ind w:left="360" w:hanging="360"/>
      </w:pPr>
      <w:rPr>
        <w:rFonts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2756720"/>
    <w:multiLevelType w:val="hybridMultilevel"/>
    <w:tmpl w:val="056AFB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F6B2038"/>
    <w:multiLevelType w:val="hybridMultilevel"/>
    <w:tmpl w:val="828258E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E346563"/>
    <w:multiLevelType w:val="hybridMultilevel"/>
    <w:tmpl w:val="910C1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0"/>
  </w:num>
  <w:num w:numId="5">
    <w:abstractNumId w:val="3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E04"/>
    <w:rsid w:val="00001F08"/>
    <w:rsid w:val="00070E14"/>
    <w:rsid w:val="001D0E94"/>
    <w:rsid w:val="00252438"/>
    <w:rsid w:val="002F492C"/>
    <w:rsid w:val="003002F9"/>
    <w:rsid w:val="003A6E04"/>
    <w:rsid w:val="004C0EE1"/>
    <w:rsid w:val="00532AC1"/>
    <w:rsid w:val="00545C45"/>
    <w:rsid w:val="005722BC"/>
    <w:rsid w:val="005D674E"/>
    <w:rsid w:val="006C6E04"/>
    <w:rsid w:val="008473DE"/>
    <w:rsid w:val="009F0AEB"/>
    <w:rsid w:val="009F155E"/>
    <w:rsid w:val="00A63520"/>
    <w:rsid w:val="00A70AFC"/>
    <w:rsid w:val="00AB2932"/>
    <w:rsid w:val="00B86F40"/>
    <w:rsid w:val="00BA5E9E"/>
    <w:rsid w:val="00BC7F64"/>
    <w:rsid w:val="00D00877"/>
    <w:rsid w:val="00D62EA3"/>
    <w:rsid w:val="00E809DD"/>
    <w:rsid w:val="00FE70F9"/>
    <w:rsid w:val="00FF7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D89E363-B0C9-4677-BB2D-47E8FB856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 Znak,Znak"/>
    <w:basedOn w:val="Normalny"/>
    <w:link w:val="NagwekZnak"/>
    <w:uiPriority w:val="99"/>
    <w:unhideWhenUsed/>
    <w:rsid w:val="006C6E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 Znak,Znak Znak1"/>
    <w:basedOn w:val="Domylnaczcionkaakapitu"/>
    <w:link w:val="Nagwek"/>
    <w:uiPriority w:val="99"/>
    <w:rsid w:val="006C6E04"/>
  </w:style>
  <w:style w:type="paragraph" w:styleId="Akapitzlist">
    <w:name w:val="List Paragraph"/>
    <w:basedOn w:val="Normalny"/>
    <w:link w:val="AkapitzlistZnak"/>
    <w:qFormat/>
    <w:rsid w:val="006C6E04"/>
    <w:pPr>
      <w:spacing w:before="200" w:after="0" w:line="320" w:lineRule="atLeast"/>
      <w:ind w:left="708"/>
    </w:pPr>
    <w:rPr>
      <w:rFonts w:ascii="Arial" w:eastAsia="Times New Roman" w:hAnsi="Arial" w:cs="Times New Roman"/>
      <w:szCs w:val="20"/>
      <w:lang w:eastAsia="pl-PL"/>
    </w:rPr>
  </w:style>
  <w:style w:type="character" w:customStyle="1" w:styleId="AkapitzlistZnak">
    <w:name w:val="Akapit z listą Znak"/>
    <w:link w:val="Akapitzlist"/>
    <w:rsid w:val="006C6E04"/>
    <w:rPr>
      <w:rFonts w:ascii="Arial" w:eastAsia="Times New Roman" w:hAnsi="Arial" w:cs="Times New Roman"/>
      <w:szCs w:val="20"/>
      <w:lang w:eastAsia="pl-PL"/>
    </w:rPr>
  </w:style>
  <w:style w:type="character" w:customStyle="1" w:styleId="highlight">
    <w:name w:val="highlight"/>
    <w:basedOn w:val="Domylnaczcionkaakapitu"/>
    <w:rsid w:val="003002F9"/>
  </w:style>
  <w:style w:type="paragraph" w:styleId="Stopka">
    <w:name w:val="footer"/>
    <w:basedOn w:val="Normalny"/>
    <w:link w:val="StopkaZnak"/>
    <w:uiPriority w:val="99"/>
    <w:unhideWhenUsed/>
    <w:rsid w:val="003002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02F9"/>
  </w:style>
  <w:style w:type="character" w:styleId="Odwoanieprzypisudolnego">
    <w:name w:val="footnote reference"/>
    <w:semiHidden/>
    <w:rsid w:val="008473DE"/>
    <w:rPr>
      <w:rFonts w:ascii="Times New Roman" w:hAnsi="Times New Roman"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8473D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473D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8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1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2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3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5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459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Gęsiak-Kaniuka</dc:creator>
  <cp:lastModifiedBy>Katarzyna Lisiecka-Mika</cp:lastModifiedBy>
  <cp:revision>2</cp:revision>
  <cp:lastPrinted>2015-11-26T14:20:00Z</cp:lastPrinted>
  <dcterms:created xsi:type="dcterms:W3CDTF">2016-02-08T08:50:00Z</dcterms:created>
  <dcterms:modified xsi:type="dcterms:W3CDTF">2016-02-08T08:50:00Z</dcterms:modified>
</cp:coreProperties>
</file>