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A731B3">
      <w:r>
        <w:rPr>
          <w:noProof/>
          <w:lang w:eastAsia="pl-PL"/>
        </w:rPr>
        <w:drawing>
          <wp:inline distT="0" distB="0" distL="0" distR="0" wp14:anchorId="0E79C698" wp14:editId="70C46D3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A731B3" w:rsidRDefault="00A731B3" w:rsidP="00A731B3">
      <w:pPr>
        <w:jc w:val="right"/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 – 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 wzrostu i zatrudnienia” oraz w 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Rady (UE) nr 1304/2013 z dnia 17 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Europejską w tym zakresie, a także w celu zapewnienia jednolitości sposobu realizacji programów operacyjnych i prawidłowości realizacji zadań i obowiązków określonych ustawą, może wydać wytyczne horyzontalne dotyczące kwalifikowalności wydatków w ramach programów operacyjnych, które są skierowane do instytucji uczestniczących realizacji programów </w:t>
      </w:r>
      <w:r w:rsidRPr="00E969AF">
        <w:rPr>
          <w:rFonts w:asciiTheme="minorHAnsi" w:hAnsiTheme="minorHAnsi"/>
        </w:rPr>
        <w:lastRenderedPageBreak/>
        <w:t>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Pr="00E969AF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Podstawowym dokumentem w zakresie kwalifikowalności wydatków w RPO WD 2014 – 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</w:t>
      </w:r>
      <w:proofErr w:type="spellStart"/>
      <w:r>
        <w:rPr>
          <w:rFonts w:asciiTheme="minorHAnsi" w:hAnsiTheme="minorHAnsi"/>
          <w:b/>
        </w:rPr>
        <w:t>niekwalifikowalność</w:t>
      </w:r>
      <w:proofErr w:type="spellEnd"/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 xml:space="preserve">si priorytetowych 1-7 </w:t>
      </w:r>
      <w:r>
        <w:rPr>
          <w:rFonts w:asciiTheme="minorHAnsi" w:hAnsiTheme="minorHAnsi"/>
          <w:b/>
          <w:u w:val="single"/>
        </w:rPr>
        <w:br/>
        <w:t>z wyłączeniem instrumentów zwrotnych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 przyczyny tego 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o dofinansowanie projektu.</w:t>
      </w:r>
    </w:p>
    <w:p w:rsidR="00971E9D" w:rsidRPr="00E969AF" w:rsidRDefault="00971E9D" w:rsidP="00971E9D">
      <w:pPr>
        <w:spacing w:before="240" w:line="276" w:lineRule="auto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FB2CB8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FB2C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poniesione na projekt realizowany w całości poza granicami administracyjnymi województwa dolnośląskiego (poziom NUTS 2). </w:t>
            </w:r>
            <w:r>
              <w:rPr>
                <w:rFonts w:asciiTheme="minorHAnsi" w:hAnsiTheme="minorHAnsi"/>
              </w:rPr>
              <w:t>W przypadku przedsiębiorstw d</w:t>
            </w:r>
            <w:r w:rsidRPr="00E969AF">
              <w:rPr>
                <w:rFonts w:asciiTheme="minorHAnsi" w:hAnsiTheme="minorHAnsi"/>
              </w:rPr>
              <w:t>otacje dla wnioskodawców nie prowadzących działalności gospodarczej (zgodnie z ustawą o swobodzie działalności gospodarczej) w granicach administracyjnych województwa dolnośląskiego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Odstępstwa od tej zasady są możliwe tylko w sytuacji, w której dopuszcza się możliwość ponoszenia wydatków poza granicami administracyjnymi województwa dolnośląskiego oraz kraju, np.: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  <w:r w:rsidRPr="00E969AF">
              <w:rPr>
                <w:rFonts w:asciiTheme="minorHAnsi" w:hAnsiTheme="minorHAnsi"/>
              </w:rPr>
              <w:t>w ramach Działania 1.4 Internacjonalizacja przedsiębiorstw</w:t>
            </w:r>
            <w:r>
              <w:rPr>
                <w:rFonts w:asciiTheme="minorHAnsi" w:hAnsiTheme="minorHAnsi"/>
              </w:rPr>
              <w:t>, projekty których celem jest promocja</w:t>
            </w:r>
            <w:r w:rsidRPr="00E969AF">
              <w:rPr>
                <w:rFonts w:asciiTheme="minorHAnsi" w:hAnsiTheme="minorHAnsi"/>
              </w:rPr>
              <w:t xml:space="preserve"> lub 4.1 Gospodarka odpadami</w:t>
            </w:r>
            <w:r>
              <w:rPr>
                <w:rFonts w:asciiTheme="minorHAnsi" w:hAnsiTheme="minorHAnsi"/>
              </w:rPr>
              <w:t xml:space="preserve"> (każdorazowo taką informację zawierać będzie regulamin konkursu)</w:t>
            </w:r>
            <w:r w:rsidRPr="00E969AF">
              <w:rPr>
                <w:rFonts w:asciiTheme="minorHAnsi" w:hAnsiTheme="minorHAnsi"/>
              </w:rPr>
              <w:t xml:space="preserve">. 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niekwalifikowalne.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wspólnotowym,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 xml:space="preserve">Limit ten weryfikowany jest jednorazowo na etapie oceny wniosku o dofinansowanie. Wydatki poniesione na dokumenty o charakterze planistycznym, takie jak Lokalny Plan Rewitalizacji czy Program Gospodarki Niskoemisyjnej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 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 przypadku projektów dużych, warunkiem kwalifikowalności biznes 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</w:t>
            </w:r>
            <w:r>
              <w:rPr>
                <w:rFonts w:asciiTheme="minorHAnsi" w:hAnsiTheme="minorHAnsi"/>
              </w:rPr>
              <w:lastRenderedPageBreak/>
              <w:t>wniosku o dofinansowania oraz wniosku o potwierdzenie wkładu finansowego w przypadku dużych projektów.</w:t>
            </w:r>
          </w:p>
        </w:tc>
      </w:tr>
      <w:tr w:rsidR="00971E9D" w:rsidRPr="00E969AF" w:rsidTr="00FB2CB8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odlicza ten podatek częściowo wg proporcji ustalonej zgodnie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z art. 90 ust. 2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</w:t>
            </w:r>
            <w:r>
              <w:rPr>
                <w:rFonts w:asciiTheme="minorHAnsi" w:hAnsiTheme="minorHAnsi"/>
              </w:rPr>
              <w:br/>
            </w:r>
            <w:r w:rsidRPr="009B01EC">
              <w:rPr>
                <w:rFonts w:asciiTheme="minorHAnsi" w:hAnsiTheme="minorHAnsi"/>
              </w:rPr>
              <w:t>i rozliczania tego podatku i będzie w stanie udowodnić w sposób nie 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 i księgowości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7D19AB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projektem i realizacją</w:t>
            </w:r>
          </w:p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projektu</w:t>
            </w:r>
            <w:r w:rsidRPr="00090A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FB2CB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 xml:space="preserve">Kwalifikowalne są wydatki związane z wynagrodzeniem osoby wykonującej – na podstawie stosunku pracy w oparciu o przepisy kodeksu pracy lub na podstawie umowy cywilnoprawnej bądź innej nienazwanej w oparciu o przepisy kodeksu cywilnego – prace/czynności na rzecz beneficjenta, partnera w projekcie lub podmiotu realizującego projekt związane z zarządzaniem projektem,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 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 xml:space="preserve">Limit 5000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 wynagrodzeniem ww. osób przy wykonywaniu ww. czynności w projekcie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 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wówczas, za kwalifikowalną może być uznana ta część wynagrodzenia, która odpowiada procentowemu bezpośredniemu zaangażowaniu ww. osoby w 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lastRenderedPageBreak/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66768A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 xml:space="preserve">względu na specyficzny charakter niektórych projektów </w:t>
            </w:r>
            <w:r>
              <w:rPr>
                <w:rFonts w:asciiTheme="minorHAnsi" w:hAnsiTheme="minorHAnsi"/>
                <w:szCs w:val="24"/>
              </w:rPr>
              <w:br/>
              <w:t xml:space="preserve">w ramach priorytetu inwestycyjnego „Przedsiębiorstwa </w:t>
            </w:r>
            <w:r>
              <w:rPr>
                <w:rFonts w:asciiTheme="minorHAnsi" w:hAnsiTheme="minorHAnsi"/>
                <w:szCs w:val="24"/>
              </w:rPr>
              <w:br/>
              <w:t>i innowacje”,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CE791F">
              <w:rPr>
                <w:rFonts w:asciiTheme="minorHAnsi" w:hAnsiTheme="minorHAnsi"/>
                <w:szCs w:val="24"/>
              </w:rPr>
              <w:t xml:space="preserve">podnosi się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 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 o charakterze „parasolowym”, co oznacza, że beneficjentem jest podmiot realizujący/wdrażający projekt, który bezpośrednim wsparciem obejmuje MŚP w zakresie wzmacniania ich potencjału badawczo – rozwojowego, technologicznego, innowacyjnego a także konkurencyjności na rynkach lokalnych oraz międzynarodowych. </w:t>
            </w:r>
          </w:p>
          <w:p w:rsidR="00CE791F" w:rsidRDefault="00CE791F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Podwyższone koszty zarządzania dotyczą projektów parasolowych realizowanych w ramach następujących schematów: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1.2 C,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1.3 C,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D432F2" w:rsidRPr="007C03EA">
              <w:rPr>
                <w:sz w:val="24"/>
                <w:szCs w:val="24"/>
              </w:rPr>
              <w:t xml:space="preserve">C oraz </w:t>
            </w:r>
            <w:r w:rsidR="003D268C">
              <w:rPr>
                <w:sz w:val="24"/>
                <w:szCs w:val="24"/>
              </w:rPr>
              <w:t>1.4.</w:t>
            </w:r>
            <w:r w:rsidRPr="007C03EA">
              <w:rPr>
                <w:sz w:val="24"/>
                <w:szCs w:val="24"/>
              </w:rPr>
              <w:t>D.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 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9D3EF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 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 xml:space="preserve">500 000 PLN. Limit weryfikowany jest jednorazowo w momencie oceny wniosku o dofinansowanie. 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 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 </w:t>
            </w:r>
            <w:r w:rsidRPr="00E969AF">
              <w:rPr>
                <w:rFonts w:asciiTheme="minorHAnsi" w:eastAsia="Calibri" w:hAnsiTheme="minorHAnsi"/>
              </w:rPr>
              <w:lastRenderedPageBreak/>
              <w:t>projekcie bądź inne nieprzewidziane wydatki w projekcie.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 rachunkiem beneficjenta/podmiotu realizującego projekt.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FB2CB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</w:t>
            </w:r>
            <w:proofErr w:type="spellStart"/>
            <w:r>
              <w:rPr>
                <w:rFonts w:asciiTheme="minorHAnsi" w:hAnsiTheme="minorHAnsi"/>
              </w:rPr>
              <w:t>tiret</w:t>
            </w:r>
            <w:proofErr w:type="spellEnd"/>
            <w:r>
              <w:rPr>
                <w:rFonts w:asciiTheme="minorHAnsi" w:hAnsiTheme="minorHAnsi"/>
              </w:rPr>
              <w:t xml:space="preserve"> iii, iv, v stanowi wydatek kwalifikowalny. </w:t>
            </w:r>
          </w:p>
        </w:tc>
      </w:tr>
      <w:tr w:rsidR="00971E9D" w:rsidRPr="00E969AF" w:rsidTr="00FB2CB8">
        <w:tc>
          <w:tcPr>
            <w:tcW w:w="1438" w:type="pct"/>
            <w:shd w:val="clear" w:color="auto" w:fill="99CCFF"/>
            <w:vAlign w:val="center"/>
          </w:tcPr>
          <w:p w:rsidR="00971E9D" w:rsidRDefault="00971E9D" w:rsidP="00FB2C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Cross – </w:t>
            </w:r>
            <w:proofErr w:type="spellStart"/>
            <w:r>
              <w:rPr>
                <w:rFonts w:asciiTheme="minorHAnsi" w:hAnsiTheme="minorHAnsi"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Pr="00DC6043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>Szczegółowe zapisy dot. poszczególnych działań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1.2.A i B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5645E" w:rsidRPr="004C2FE3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</w:p>
    <w:p w:rsidR="00971E9D" w:rsidRDefault="00971E9D" w:rsidP="00971E9D">
      <w:pPr>
        <w:pStyle w:val="Akapitzlist"/>
        <w:spacing w:after="0"/>
        <w:jc w:val="both"/>
        <w:rPr>
          <w:sz w:val="23"/>
          <w:szCs w:val="23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1.2 D </w:t>
      </w:r>
      <w:r w:rsidRPr="00E969AF">
        <w:rPr>
          <w:rFonts w:asciiTheme="minorHAnsi" w:hAnsiTheme="minorHAnsi"/>
        </w:rPr>
        <w:t xml:space="preserve">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1.3.A</w:t>
      </w:r>
      <w:r w:rsidRPr="00E969AF">
        <w:rPr>
          <w:rFonts w:asciiTheme="minorHAnsi" w:hAnsiTheme="minorHAnsi"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D563DB" w:rsidRPr="00E969AF" w:rsidRDefault="00D563D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</w:t>
      </w:r>
      <w:r>
        <w:rPr>
          <w:rFonts w:eastAsia="Calibri"/>
          <w:sz w:val="24"/>
          <w:szCs w:val="24"/>
        </w:rPr>
        <w:t xml:space="preserve">budowę nowych lub adaptację (przebudowa, rozbudowa) istniejących budynków, np. hal produkcyjnych, </w:t>
      </w:r>
      <w:r w:rsidRPr="00E969AF">
        <w:rPr>
          <w:rFonts w:eastAsia="Times New Roman" w:cs="Times New Roman"/>
          <w:sz w:val="24"/>
          <w:szCs w:val="24"/>
          <w:lang w:eastAsia="pl-PL"/>
        </w:rPr>
        <w:t>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zakup środków trwałych (np. maszyn, urządzeń, aparatury specjalistycznej)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BB2D85" w:rsidRDefault="00971E9D" w:rsidP="00971E9D">
      <w:pPr>
        <w:spacing w:line="276" w:lineRule="auto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 (np. maszyn, urządzeń, aparatury specjalistycznej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90644B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0" w:name="_Toc194291240"/>
      <w:bookmarkStart w:id="1" w:name="_Toc209405135"/>
      <w:r w:rsidRPr="00E969AF">
        <w:rPr>
          <w:rFonts w:asciiTheme="minorHAnsi" w:hAnsiTheme="minorHAnsi"/>
          <w:b/>
        </w:rPr>
        <w:t xml:space="preserve"> </w:t>
      </w:r>
      <w:bookmarkEnd w:id="0"/>
      <w:bookmarkEnd w:id="1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1.4.B.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F068E2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F92B1F" w:rsidRDefault="00971E9D" w:rsidP="00971E9D">
      <w:pPr>
        <w:spacing w:line="276" w:lineRule="auto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1.4.C.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 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 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bookmarkStart w:id="2" w:name="_GoBack"/>
    </w:p>
    <w:bookmarkEnd w:id="2"/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Pr="00E969AF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 xml:space="preserve">2.1. Technologie informacyjno-komunikacyjne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20 %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eastAsia="Calibr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lastRenderedPageBreak/>
        <w:t>Wydatki związane z demontażem urządzeń służących produkcji energii 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Wydatki związane z </w:t>
      </w:r>
      <w:proofErr w:type="spellStart"/>
      <w:r w:rsidRPr="00E969AF">
        <w:rPr>
          <w:rFonts w:asciiTheme="minorHAnsi" w:hAnsiTheme="minorHAnsi"/>
        </w:rPr>
        <w:t>przesyłem</w:t>
      </w:r>
      <w:proofErr w:type="spellEnd"/>
      <w:r w:rsidRPr="00E969AF">
        <w:rPr>
          <w:rFonts w:asciiTheme="minorHAnsi" w:hAnsiTheme="minorHAnsi"/>
        </w:rPr>
        <w:t xml:space="preserve"> energii.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Pr="000B1A23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</w:p>
    <w:p w:rsidR="00971E9D" w:rsidRPr="00E969AF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w ramach projektu dotyczące budynków mieszkalnych i użyteczności publicznej których właścicielem jest JST lub dla których podmiotem założycielskim jest JST.</w:t>
      </w:r>
    </w:p>
    <w:p w:rsidR="00971E9D" w:rsidRPr="000B1A23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 </w:t>
      </w:r>
    </w:p>
    <w:p w:rsidR="00971E9D" w:rsidRPr="00E969AF" w:rsidRDefault="00971E9D" w:rsidP="00971E9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 xml:space="preserve">) na energooszczędne przekraczające wartość </w:t>
      </w:r>
      <w:r>
        <w:rPr>
          <w:sz w:val="24"/>
          <w:szCs w:val="24"/>
        </w:rPr>
        <w:t>10</w:t>
      </w:r>
      <w:r w:rsidRPr="00E969AF">
        <w:rPr>
          <w:sz w:val="24"/>
          <w:szCs w:val="24"/>
        </w:rPr>
        <w:t>% wydatków kwalifikowalnych w projekcie.</w:t>
      </w:r>
    </w:p>
    <w:p w:rsidR="00971E9D" w:rsidRPr="00C94CC1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D1201E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1201E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971E9D" w:rsidRPr="00E577CF" w:rsidRDefault="00971E9D" w:rsidP="00971E9D">
      <w:pPr>
        <w:spacing w:line="276" w:lineRule="auto"/>
        <w:jc w:val="both"/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>Wysokosprawna kogeneracja</w:t>
      </w:r>
    </w:p>
    <w:p w:rsidR="00971E9D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sytuacji, w której wytwarzana energia służy m.in. zaspokojeniu potrzeb własnych.  </w:t>
      </w:r>
    </w:p>
    <w:p w:rsidR="00971E9D" w:rsidRPr="000B1A23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spacing w:line="276" w:lineRule="auto"/>
        <w:ind w:left="728" w:hanging="364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lastRenderedPageBreak/>
        <w:t>Zakup środków transportu, z wyłączeniem specjalistycznych środków transportu odpadów.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 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1E9D">
      <w:pPr>
        <w:spacing w:line="276" w:lineRule="auto"/>
        <w:jc w:val="center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  <w:bCs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3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obiekty i urządzenia obsługi uczestników ruchu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>
        <w:rPr>
          <w:rFonts w:asciiTheme="minorHAnsi" w:hAnsiTheme="minorHAnsi"/>
        </w:rPr>
        <w:t xml:space="preserve"> – I</w:t>
      </w:r>
      <w:r>
        <w:rPr>
          <w:rStyle w:val="Odwoanieprzypisudolnego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mogą stanowić wydatek kwalifikowalny do wysokości 25% wydatków kwalifikowalnych w projekcie. Wydatki na MOP typu II i III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 – I do wysokości 25% wydatków kwalifikowalnych w 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2,3 i 4 liczone są łącznie, tzn. wydatki w tych kategoriach w sumie nie mogą przekroczyć 25% wydatków kwalifikowalnych w projekcie.</w:t>
      </w:r>
    </w:p>
    <w:p w:rsidR="00971E9D" w:rsidRPr="00E969AF" w:rsidRDefault="00971E9D" w:rsidP="00971E9D">
      <w:pPr>
        <w:spacing w:line="276" w:lineRule="auto"/>
        <w:ind w:left="714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 związanej z drogą (np. linie elektroenergetyczne wysokiego i niskiego napięcia oraz linie telekomunikacyjne, przewody kanalizacyjne nie 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zakup środków transportu nie 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Pr="00E969AF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Infrastruktura spójności społecznej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49 %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 zieleń i drobną architekturę w 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8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jc w:val="both"/>
        <w:rPr>
          <w:b/>
          <w:sz w:val="24"/>
          <w:szCs w:val="24"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wyposażeniem części administracyjnej nie 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 na którym będą świadczone usługi medyczne nie</w:t>
      </w:r>
      <w:r w:rsidRPr="00E969AF">
        <w:rPr>
          <w:sz w:val="24"/>
          <w:szCs w:val="24"/>
        </w:rPr>
        <w:t xml:space="preserve"> zakontraktowane w umowie o świadczenie usług zawieranych z NFZ i właściwym ministrem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Pr="00E969AF">
        <w:rPr>
          <w:sz w:val="24"/>
          <w:szCs w:val="24"/>
          <w:vertAlign w:val="superscript"/>
        </w:rPr>
        <w:footnoteReference w:id="9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terenu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49 %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1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2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 w tym zawodową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Default="00971E9D"/>
    <w:sectPr w:rsidR="00971E9D" w:rsidSect="00A731B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55" w:rsidRDefault="007B2A55" w:rsidP="007B2A55">
      <w:pPr>
        <w:spacing w:line="240" w:lineRule="auto"/>
      </w:pPr>
      <w:r>
        <w:separator/>
      </w:r>
    </w:p>
  </w:endnote>
  <w:endnote w:type="continuationSeparator" w:id="0">
    <w:p w:rsidR="007B2A55" w:rsidRDefault="007B2A55" w:rsidP="007B2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B2A55" w:rsidRPr="007B2A55" w:rsidRDefault="007B2A55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4A6234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7B2A55" w:rsidRDefault="007B2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55" w:rsidRDefault="007B2A55" w:rsidP="007B2A55">
      <w:pPr>
        <w:spacing w:line="240" w:lineRule="auto"/>
      </w:pPr>
      <w:r>
        <w:separator/>
      </w:r>
    </w:p>
  </w:footnote>
  <w:footnote w:type="continuationSeparator" w:id="0">
    <w:p w:rsidR="007B2A55" w:rsidRDefault="007B2A55" w:rsidP="007B2A55">
      <w:pPr>
        <w:spacing w:line="240" w:lineRule="auto"/>
      </w:pPr>
      <w:r>
        <w:continuationSeparator/>
      </w:r>
    </w:p>
  </w:footnote>
  <w:footnote w:id="1">
    <w:p w:rsidR="00971E9D" w:rsidRDefault="00971E9D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2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</w:t>
      </w:r>
      <w:proofErr w:type="spellStart"/>
      <w:r>
        <w:t>późn</w:t>
      </w:r>
      <w:proofErr w:type="spellEnd"/>
      <w:r>
        <w:t>. zm.).</w:t>
      </w:r>
    </w:p>
  </w:footnote>
  <w:footnote w:id="3">
    <w:p w:rsidR="00971E9D" w:rsidRDefault="00971E9D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7118">
        <w:t>W</w:t>
      </w:r>
      <w:r>
        <w:t> rozumieniu rozporządzenia Ministra Transportu i Gospodarki Morskiej z dn. 2 marca 1999 r. w sprawie warunków technicznych, jakim powinny odpowiadać drogi publiczne i ich usytuowanie.</w:t>
      </w:r>
    </w:p>
  </w:footnote>
  <w:footnote w:id="4">
    <w:p w:rsidR="00971E9D" w:rsidRDefault="00971E9D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7118">
        <w:t>W</w:t>
      </w:r>
      <w:r>
        <w:t> rozumieniu rozporządzenia Ministra Transportu i Gospodarki Morskiej z dn. 2 marca 1999 r. w sprawie warunków technicznych, jakim powinny odpowiadać drogi publiczne i ich usytuowanie</w:t>
      </w:r>
      <w:r w:rsidR="00E27118">
        <w:t>.</w:t>
      </w:r>
    </w:p>
  </w:footnote>
  <w:footnote w:id="5">
    <w:p w:rsidR="00971E9D" w:rsidRDefault="00971E9D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7118">
        <w:t>W</w:t>
      </w:r>
      <w:r>
        <w:t> rozumieniu rozporządzenia Ministra Transportu i Gospodarki Morskiej z dn. 2 marca 1999 r. w sprawie warunków technicznych, jakim powinny odpowiadać drogi publiczne i ich usytuowanie</w:t>
      </w:r>
      <w:r w:rsidR="00E27118">
        <w:t>.</w:t>
      </w:r>
    </w:p>
  </w:footnote>
  <w:footnote w:id="6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8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Dlatego należy określić procentowy udział powierzchni użytkowej związanej z prowadzeniem działalności </w:t>
      </w:r>
      <w:r>
        <w:t xml:space="preserve">przedszkolnej </w:t>
      </w:r>
      <w:r w:rsidRPr="007A020B">
        <w:t>w całkowitej powierzchni użytkowej budynku. Następnie należy wg uzyskanej proporcji obniżyć wydatki kwalifikowalne.</w:t>
      </w:r>
    </w:p>
  </w:footnote>
  <w:footnote w:id="9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0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Dlatego 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2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3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Dlatego 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4">
    <w:p w:rsidR="00971E9D" w:rsidRDefault="00971E9D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Dlatego 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6"/>
  </w:num>
  <w:num w:numId="12">
    <w:abstractNumId w:val="15"/>
  </w:num>
  <w:num w:numId="13">
    <w:abstractNumId w:val="12"/>
  </w:num>
  <w:num w:numId="14">
    <w:abstractNumId w:val="10"/>
  </w:num>
  <w:num w:numId="15">
    <w:abstractNumId w:val="23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4"/>
  </w:num>
  <w:num w:numId="21">
    <w:abstractNumId w:val="13"/>
  </w:num>
  <w:num w:numId="22">
    <w:abstractNumId w:val="19"/>
  </w:num>
  <w:num w:numId="23">
    <w:abstractNumId w:val="25"/>
  </w:num>
  <w:num w:numId="24">
    <w:abstractNumId w:val="8"/>
  </w:num>
  <w:num w:numId="25">
    <w:abstractNumId w:val="2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4"/>
    <w:rsid w:val="00045701"/>
    <w:rsid w:val="001B400E"/>
    <w:rsid w:val="001E2CC7"/>
    <w:rsid w:val="00243364"/>
    <w:rsid w:val="00250A55"/>
    <w:rsid w:val="003C2BAD"/>
    <w:rsid w:val="003D268C"/>
    <w:rsid w:val="00497AC4"/>
    <w:rsid w:val="004A6234"/>
    <w:rsid w:val="0066768A"/>
    <w:rsid w:val="006C1FB5"/>
    <w:rsid w:val="006E3983"/>
    <w:rsid w:val="00793919"/>
    <w:rsid w:val="007B2A55"/>
    <w:rsid w:val="007C03EA"/>
    <w:rsid w:val="0080794C"/>
    <w:rsid w:val="00841780"/>
    <w:rsid w:val="00940A02"/>
    <w:rsid w:val="0095645E"/>
    <w:rsid w:val="00965A71"/>
    <w:rsid w:val="00971E9D"/>
    <w:rsid w:val="009D3EFE"/>
    <w:rsid w:val="00A731B3"/>
    <w:rsid w:val="00AB7262"/>
    <w:rsid w:val="00BF28DA"/>
    <w:rsid w:val="00C878C2"/>
    <w:rsid w:val="00CD73A7"/>
    <w:rsid w:val="00CE791F"/>
    <w:rsid w:val="00D432F2"/>
    <w:rsid w:val="00D563DB"/>
    <w:rsid w:val="00D80C64"/>
    <w:rsid w:val="00D84969"/>
    <w:rsid w:val="00D90427"/>
    <w:rsid w:val="00DF069F"/>
    <w:rsid w:val="00E27118"/>
    <w:rsid w:val="00E84110"/>
    <w:rsid w:val="00EE3659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971E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971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3992</Words>
  <Characters>23958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Anna Guła</cp:lastModifiedBy>
  <cp:revision>2</cp:revision>
  <cp:lastPrinted>2015-06-30T06:36:00Z</cp:lastPrinted>
  <dcterms:created xsi:type="dcterms:W3CDTF">2015-09-01T08:35:00Z</dcterms:created>
  <dcterms:modified xsi:type="dcterms:W3CDTF">2015-09-01T08:35:00Z</dcterms:modified>
</cp:coreProperties>
</file>