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Default="00DA39B4" w:rsidP="005611AF">
      <w:pPr>
        <w:rPr>
          <w:rFonts w:ascii="Calibri" w:hAnsi="Calibri" w:cs="Arial"/>
          <w:b/>
          <w:iCs/>
        </w:rPr>
      </w:pPr>
      <w:bookmarkStart w:id="0" w:name="_GoBack"/>
      <w:bookmarkEnd w:id="0"/>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47504D">
        <w:rPr>
          <w:rFonts w:ascii="Calibri" w:hAnsi="Calibri" w:cs="Arial"/>
          <w:b/>
          <w:iCs/>
        </w:rPr>
        <w:t xml:space="preserve"> 31</w:t>
      </w:r>
      <w:r w:rsidR="008934DC">
        <w:rPr>
          <w:rFonts w:ascii="Calibri" w:hAnsi="Calibri" w:cs="Arial"/>
          <w:b/>
          <w:iCs/>
        </w:rPr>
        <w:t xml:space="preserve"> </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742239">
        <w:rPr>
          <w:rFonts w:ascii="Calibri" w:hAnsi="Calibri" w:cs="Arial"/>
          <w:b/>
          <w:iCs/>
        </w:rPr>
        <w:t xml:space="preserve">7 kwietnia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47504D"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Do Uchwały Nr 31</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3744A8">
        <w:rPr>
          <w:rFonts w:ascii="Calibri" w:hAnsi="Calibri" w:cs="Arial"/>
          <w:b w:val="0"/>
          <w:bCs/>
          <w:i w:val="0"/>
          <w:iCs/>
          <w:sz w:val="24"/>
          <w:szCs w:val="24"/>
        </w:rPr>
        <w:t xml:space="preserve">7 kwietnia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DE3EB0" w:rsidRDefault="00DE3EB0" w:rsidP="00E25B05">
      <w:pPr>
        <w:pStyle w:val="Tekstpodstawowy"/>
        <w:ind w:left="62"/>
        <w:jc w:val="both"/>
        <w:rPr>
          <w:rFonts w:ascii="Calibri" w:hAnsi="Calibri" w:cs="Arial"/>
          <w:b w:val="0"/>
          <w:bCs/>
          <w:i w:val="0"/>
          <w:iCs/>
          <w:sz w:val="24"/>
          <w:szCs w:val="24"/>
        </w:rPr>
      </w:pPr>
    </w:p>
    <w:p w:rsidR="0079695D" w:rsidRDefault="00742239" w:rsidP="0079695D">
      <w:pPr>
        <w:pStyle w:val="Tekstpodstawowy"/>
        <w:numPr>
          <w:ilvl w:val="0"/>
          <w:numId w:val="28"/>
        </w:numPr>
        <w:jc w:val="both"/>
        <w:rPr>
          <w:rFonts w:ascii="Calibri" w:hAnsi="Calibri" w:cs="Arial"/>
          <w:b w:val="0"/>
          <w:bCs/>
          <w:i w:val="0"/>
          <w:iCs/>
          <w:sz w:val="24"/>
          <w:szCs w:val="24"/>
        </w:rPr>
      </w:pPr>
      <w:r w:rsidRPr="00742239">
        <w:rPr>
          <w:rFonts w:ascii="Calibri" w:hAnsi="Calibri" w:cs="Arial"/>
          <w:b w:val="0"/>
          <w:bCs/>
          <w:i w:val="0"/>
          <w:iCs/>
          <w:sz w:val="24"/>
          <w:szCs w:val="24"/>
        </w:rPr>
        <w:t>Działanie 1.3.A (DIP) Przygotowanie terenów inwestycyjnych</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1.3.B (DIP) Wsparcie infrastruktury przeznaczonej dla przedsiębiorców</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3.4 A Ograniczona niska emisja transportowa w ramach kompleksowych strategii niskoemisyjnych</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4.5 D Bezpieczeństwo -  Projekty dotyczące wsparcia jednostek ratowniczych włączonych do Krajowego Systemu Ratowniczo-Gaśniczego (KSRG)</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6.1 D Remont, przebudowa i wyposażenie infrastruktury zdegradowanych budynków w celu ich adaptacji na mieszkania chronione, wspomagane i treningowe oraz Działanie 6.1 E Remont, przebudowa i wyposażenie infrastruktury zdegradowanych budynków w celu ich adaptacji na mieszkania socjalne</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6.3 B Remont, odnowa części wspólnych wielorodzinnych budynków mieszkalnych</w:t>
      </w:r>
      <w:r w:rsidR="0079695D">
        <w:rPr>
          <w:rFonts w:ascii="Calibri" w:hAnsi="Calibri" w:cs="Arial"/>
          <w:b w:val="0"/>
          <w:bCs/>
          <w:i w:val="0"/>
          <w:iCs/>
          <w:sz w:val="24"/>
          <w:szCs w:val="24"/>
        </w:rPr>
        <w:t>;</w:t>
      </w:r>
    </w:p>
    <w:p w:rsidR="0070388B"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 xml:space="preserve">Działanie 8.6 Zwiększenie konkurencyjności przedsiębiorstw i przedsiębiorców </w:t>
      </w:r>
    </w:p>
    <w:p w:rsidR="0079695D" w:rsidRDefault="00742239" w:rsidP="0070388B">
      <w:pPr>
        <w:pStyle w:val="Tekstpodstawowy"/>
        <w:ind w:left="720"/>
        <w:jc w:val="both"/>
        <w:rPr>
          <w:rFonts w:ascii="Calibri" w:hAnsi="Calibri" w:cs="Arial"/>
          <w:b w:val="0"/>
          <w:bCs/>
          <w:i w:val="0"/>
          <w:iCs/>
          <w:sz w:val="24"/>
          <w:szCs w:val="24"/>
        </w:rPr>
      </w:pPr>
      <w:r w:rsidRPr="0079695D">
        <w:rPr>
          <w:rFonts w:ascii="Calibri" w:hAnsi="Calibri" w:cs="Arial"/>
          <w:b w:val="0"/>
          <w:bCs/>
          <w:i w:val="0"/>
          <w:iCs/>
          <w:sz w:val="24"/>
          <w:szCs w:val="24"/>
        </w:rPr>
        <w:t>z sektora MMŚP</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9.1 Aktywna integracja – projekty dla młodzieży zagrożonej wykluczeniem społecznym – DWUP</w:t>
      </w:r>
      <w:r w:rsidR="0079695D">
        <w:rPr>
          <w:rFonts w:ascii="Calibri" w:hAnsi="Calibri" w:cs="Arial"/>
          <w:b w:val="0"/>
          <w:bCs/>
          <w:i w:val="0"/>
          <w:iCs/>
          <w:sz w:val="24"/>
          <w:szCs w:val="24"/>
        </w:rPr>
        <w:t>;</w:t>
      </w:r>
    </w:p>
    <w:p w:rsidR="0070388B" w:rsidRDefault="00742239" w:rsidP="0070388B">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10.4 Dostosowanie systemów kształcenia i szkolenia za</w:t>
      </w:r>
      <w:r w:rsidR="0070388B">
        <w:rPr>
          <w:rFonts w:ascii="Calibri" w:hAnsi="Calibri" w:cs="Arial"/>
          <w:b w:val="0"/>
          <w:bCs/>
          <w:i w:val="0"/>
          <w:iCs/>
          <w:sz w:val="24"/>
          <w:szCs w:val="24"/>
        </w:rPr>
        <w:t>wodowego do potrzeb rynku pracy</w:t>
      </w:r>
    </w:p>
    <w:p w:rsidR="00742239" w:rsidRPr="0070388B" w:rsidRDefault="00742239" w:rsidP="0070388B">
      <w:pPr>
        <w:pStyle w:val="Tekstpodstawowy"/>
        <w:numPr>
          <w:ilvl w:val="0"/>
          <w:numId w:val="28"/>
        </w:numPr>
        <w:jc w:val="both"/>
        <w:rPr>
          <w:rFonts w:ascii="Calibri" w:hAnsi="Calibri" w:cs="Arial"/>
          <w:b w:val="0"/>
          <w:bCs/>
          <w:i w:val="0"/>
          <w:iCs/>
          <w:sz w:val="24"/>
          <w:szCs w:val="24"/>
        </w:rPr>
      </w:pPr>
      <w:r w:rsidRPr="0070388B">
        <w:rPr>
          <w:rFonts w:ascii="Calibri" w:hAnsi="Calibri" w:cs="Arial"/>
          <w:b w:val="0"/>
          <w:bCs/>
          <w:i w:val="0"/>
          <w:iCs/>
          <w:sz w:val="24"/>
          <w:szCs w:val="24"/>
        </w:rPr>
        <w:t>Propozycja zmian IZ RPO w kryteriach wyboru projektów przyjętych poprzednimi uchwałami KM.</w:t>
      </w:r>
    </w:p>
    <w:p w:rsidR="00E25B05" w:rsidRPr="00E80156" w:rsidRDefault="00E25B05" w:rsidP="00E80156">
      <w:pPr>
        <w:pStyle w:val="Tekstpodstawowy"/>
        <w:ind w:left="62" w:firstLine="646"/>
        <w:jc w:val="both"/>
        <w:rPr>
          <w:rFonts w:ascii="Calibri" w:hAnsi="Calibri" w:cs="Arial"/>
          <w:b w:val="0"/>
          <w:bCs/>
          <w:i w:val="0"/>
          <w:iCs/>
          <w:sz w:val="24"/>
          <w:szCs w:val="24"/>
        </w:rPr>
      </w:pPr>
    </w:p>
    <w:sectPr w:rsidR="00E25B05" w:rsidRPr="00E80156"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3"/>
  </w:num>
  <w:num w:numId="7">
    <w:abstractNumId w:val="14"/>
  </w:num>
  <w:num w:numId="8">
    <w:abstractNumId w:val="27"/>
  </w:num>
  <w:num w:numId="9">
    <w:abstractNumId w:val="20"/>
  </w:num>
  <w:num w:numId="10">
    <w:abstractNumId w:val="22"/>
  </w:num>
  <w:num w:numId="11">
    <w:abstractNumId w:val="11"/>
  </w:num>
  <w:num w:numId="12">
    <w:abstractNumId w:val="18"/>
  </w:num>
  <w:num w:numId="13">
    <w:abstractNumId w:val="21"/>
  </w:num>
  <w:num w:numId="14">
    <w:abstractNumId w:val="24"/>
  </w:num>
  <w:num w:numId="15">
    <w:abstractNumId w:val="1"/>
  </w:num>
  <w:num w:numId="16">
    <w:abstractNumId w:val="16"/>
  </w:num>
  <w:num w:numId="17">
    <w:abstractNumId w:val="17"/>
  </w:num>
  <w:num w:numId="18">
    <w:abstractNumId w:val="25"/>
  </w:num>
  <w:num w:numId="19">
    <w:abstractNumId w:val="26"/>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E38E4"/>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F07C8"/>
    <w:rsid w:val="00601B57"/>
    <w:rsid w:val="00611A3E"/>
    <w:rsid w:val="00623BC5"/>
    <w:rsid w:val="00696F32"/>
    <w:rsid w:val="006D2996"/>
    <w:rsid w:val="006E23FF"/>
    <w:rsid w:val="006F6174"/>
    <w:rsid w:val="006F6DE6"/>
    <w:rsid w:val="0070388B"/>
    <w:rsid w:val="00704ADE"/>
    <w:rsid w:val="00706435"/>
    <w:rsid w:val="007104DC"/>
    <w:rsid w:val="0073157F"/>
    <w:rsid w:val="007401E6"/>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85C81"/>
    <w:rsid w:val="00AB3083"/>
    <w:rsid w:val="00AF217C"/>
    <w:rsid w:val="00B0134B"/>
    <w:rsid w:val="00B024F4"/>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356A5-B76D-43B4-9107-E850CC3F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3819</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2016-04-06T10:00:00Z</cp:lastPrinted>
  <dcterms:created xsi:type="dcterms:W3CDTF">2016-04-11T06:43:00Z</dcterms:created>
  <dcterms:modified xsi:type="dcterms:W3CDTF">2016-04-11T06:43:00Z</dcterms:modified>
</cp:coreProperties>
</file>