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</w:t>
      </w:r>
      <w:r w:rsidR="0003532D">
        <w:t xml:space="preserve">                                </w:t>
      </w:r>
      <w:r w:rsidR="0008638F">
        <w:t xml:space="preserve">              </w:t>
      </w:r>
      <w:r w:rsidR="002618A4">
        <w:t>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9962EA">
        <w:t>lipiec</w:t>
      </w:r>
      <w:r w:rsidR="0003532D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>
        <w:rPr>
          <w:rFonts w:asciiTheme="minorHAnsi" w:hAnsiTheme="minorHAnsi"/>
          <w:sz w:val="22"/>
          <w:szCs w:val="22"/>
        </w:rPr>
        <w:t>finansowych</w:t>
      </w:r>
      <w:r w:rsidR="000F49C6" w:rsidRPr="006B4515">
        <w:rPr>
          <w:rFonts w:asciiTheme="minorHAnsi" w:hAnsiTheme="minorHAnsi"/>
          <w:sz w:val="22"/>
          <w:szCs w:val="22"/>
        </w:rPr>
        <w:t xml:space="preserve">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6B4515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8638F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8638F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3F0BE3">
        <w:rPr>
          <w:rFonts w:asciiTheme="minorHAnsi" w:hAnsiTheme="minorHAnsi"/>
          <w:iCs/>
          <w:sz w:val="22"/>
          <w:szCs w:val="22"/>
        </w:rPr>
        <w:t xml:space="preserve">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8F7051" w:rsidRPr="0008638F" w:rsidRDefault="001E1928" w:rsidP="0008638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bookmarkStart w:id="0" w:name="_Hlk485204417"/>
      <w:r w:rsidRPr="00BA0A54">
        <w:rPr>
          <w:rFonts w:asciiTheme="minorHAnsi" w:hAnsiTheme="minorHAnsi"/>
          <w:iCs/>
          <w:sz w:val="22"/>
          <w:szCs w:val="22"/>
        </w:rPr>
        <w:t xml:space="preserve">Zgodnie z art. 8 ustawy wdrożeniowej Instytucja Zarządzająca </w:t>
      </w:r>
      <w:r w:rsidR="00673263">
        <w:rPr>
          <w:rFonts w:asciiTheme="minorHAnsi" w:hAnsiTheme="minorHAnsi"/>
          <w:iCs/>
          <w:sz w:val="22"/>
          <w:szCs w:val="22"/>
        </w:rPr>
        <w:t>: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>a) podaje do publicznej wiadomości, w szczególności na swojej stronie internetowej oraz na portalu, wytyczne programowe oraz ich zmiany, a także termin, od którego wytyczne programowe lub ich zmiany są stosowane;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 xml:space="preserve">b) ogłasza </w:t>
      </w:r>
      <w:r w:rsidR="00673263" w:rsidRPr="0008638F">
        <w:rPr>
          <w:rFonts w:cs="Calibri"/>
          <w:iCs/>
          <w:color w:val="000000"/>
        </w:rPr>
        <w:t>w wojewódzkim dzienniku urzędowym</w:t>
      </w:r>
      <w:r w:rsidRPr="0008638F">
        <w:rPr>
          <w:rFonts w:cs="Calibri"/>
          <w:iCs/>
          <w:color w:val="000000"/>
        </w:rPr>
        <w:t xml:space="preserve"> komunikat o adresie strony internetowej oraz portalu, na których zostaną zamieszczone wytyczne programowe oraz ich zmiany, a także </w:t>
      </w:r>
      <w:r w:rsidR="0008638F">
        <w:rPr>
          <w:rFonts w:cs="Calibri"/>
          <w:iCs/>
          <w:color w:val="000000"/>
        </w:rPr>
        <w:br/>
      </w:r>
      <w:r w:rsidRPr="0008638F">
        <w:rPr>
          <w:rFonts w:cs="Calibri"/>
          <w:iCs/>
          <w:color w:val="000000"/>
        </w:rPr>
        <w:t>o terminie, od którego wytyczne programowe oraz ich zmiany są stosowane.</w:t>
      </w:r>
    </w:p>
    <w:bookmarkEnd w:id="0"/>
    <w:p w:rsidR="008F7051" w:rsidRPr="00BA0A54" w:rsidRDefault="001E1928" w:rsidP="00BA0A54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A0A54">
        <w:rPr>
          <w:rFonts w:asciiTheme="minorHAnsi" w:hAnsiTheme="minorHAnsi"/>
          <w:iCs/>
          <w:sz w:val="22"/>
          <w:szCs w:val="22"/>
        </w:rPr>
        <w:t xml:space="preserve">Do oceny kwalifikowalności poniesionych wydatków stosuje się wersję </w:t>
      </w:r>
      <w:r w:rsidR="00006885" w:rsidRPr="00006885">
        <w:rPr>
          <w:rFonts w:asciiTheme="minorHAnsi" w:hAnsiTheme="minorHAnsi"/>
          <w:iCs/>
          <w:sz w:val="22"/>
          <w:szCs w:val="22"/>
        </w:rPr>
        <w:t>w</w:t>
      </w:r>
      <w:r w:rsidRPr="00BA0A54">
        <w:rPr>
          <w:rFonts w:asciiTheme="minorHAnsi" w:hAnsiTheme="minorHAnsi"/>
          <w:iCs/>
          <w:sz w:val="22"/>
          <w:szCs w:val="22"/>
        </w:rPr>
        <w:t>ytycznych obowiązującą w dniu poniesienia wydatku</w:t>
      </w:r>
      <w:r w:rsidR="00006885" w:rsidRPr="00006885">
        <w:rPr>
          <w:rFonts w:asciiTheme="minorHAnsi" w:hAnsiTheme="minorHAnsi"/>
          <w:iCs/>
        </w:rPr>
        <w:t>.</w:t>
      </w:r>
      <w:r w:rsidR="00006885">
        <w:rPr>
          <w:rFonts w:asciiTheme="minorHAnsi" w:hAnsiTheme="minorHAnsi"/>
          <w:iCs/>
        </w:rPr>
        <w:t xml:space="preserve"> </w:t>
      </w:r>
      <w:r w:rsidR="003128AA" w:rsidRPr="00006885">
        <w:rPr>
          <w:rFonts w:asciiTheme="minorHAnsi" w:hAnsiTheme="minorHAnsi"/>
          <w:iCs/>
          <w:sz w:val="22"/>
          <w:szCs w:val="22"/>
        </w:rPr>
        <w:t>W przypadku konkursów ogłoszonych prze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d 21.11.2016 r. 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(wejściem w życie </w:t>
      </w:r>
      <w:r w:rsidR="00F739EA">
        <w:rPr>
          <w:rFonts w:asciiTheme="minorHAnsi" w:hAnsiTheme="minorHAnsi"/>
          <w:iCs/>
          <w:sz w:val="22"/>
          <w:szCs w:val="22"/>
        </w:rPr>
        <w:t xml:space="preserve">pierwszej wersji </w:t>
      </w:r>
      <w:r w:rsidR="00006885" w:rsidRPr="00006885">
        <w:rPr>
          <w:rFonts w:asciiTheme="minorHAnsi" w:hAnsiTheme="minorHAnsi"/>
          <w:iCs/>
          <w:sz w:val="22"/>
          <w:szCs w:val="22"/>
        </w:rPr>
        <w:t>wytycznych</w:t>
      </w:r>
      <w:r w:rsidR="00006885">
        <w:rPr>
          <w:rFonts w:asciiTheme="minorHAnsi" w:hAnsiTheme="minorHAnsi"/>
          <w:iCs/>
          <w:sz w:val="22"/>
          <w:szCs w:val="22"/>
        </w:rPr>
        <w:t xml:space="preserve"> programowyc</w:t>
      </w:r>
      <w:r w:rsidR="00D60F14">
        <w:rPr>
          <w:rFonts w:asciiTheme="minorHAnsi" w:hAnsiTheme="minorHAnsi"/>
          <w:iCs/>
          <w:sz w:val="22"/>
          <w:szCs w:val="22"/>
        </w:rPr>
        <w:t>h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) 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stosuje się obowiązujący na dzień ogłoszenia danego konkursu (wskazany w Regulaminie konkursu) Załącznik nr 6 do Szczegółowego opisu osi priorytetowych Regionalnego Programu Operacyjnego Województwa Dolnośląskiego 2014-2020. </w:t>
      </w:r>
      <w:r w:rsidR="003128AA" w:rsidRPr="0000688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  </w:t>
      </w:r>
    </w:p>
    <w:p w:rsidR="00BB6C1F" w:rsidRPr="006B4515" w:rsidRDefault="00BB6C1F" w:rsidP="0067326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</w:t>
      </w:r>
      <w:bookmarkStart w:id="1" w:name="_GoBack"/>
      <w:bookmarkEnd w:id="1"/>
      <w:r w:rsidRPr="001E5C1A">
        <w:rPr>
          <w:b/>
        </w:rPr>
        <w:t>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 xml:space="preserve">ączeniem instrumentów </w:t>
      </w:r>
      <w:r w:rsidR="00DB22A0">
        <w:rPr>
          <w:b/>
        </w:rPr>
        <w:t>finansowych</w:t>
      </w:r>
    </w:p>
    <w:p w:rsidR="00A23F33" w:rsidRPr="006B4515" w:rsidRDefault="00A23F33" w:rsidP="00A23F33">
      <w:pPr>
        <w:jc w:val="both"/>
      </w:pPr>
      <w:r w:rsidRPr="006B4515">
        <w:t xml:space="preserve">Zwiększenie wysokości kosztów kwalifikowalnych w toku realizacji projektu przez Beneficjenta, niezależnie od przyczyny tego zwiększenia, nie stanowi dla Beneficjenta podstawy do roszczeń </w:t>
      </w:r>
      <w:r w:rsidRPr="006B4515">
        <w:lastRenderedPageBreak/>
        <w:t>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Okres realizacji projektu określony w umowie nie może wykraczać poza </w:t>
            </w:r>
            <w:r w:rsidRPr="006B4515">
              <w:lastRenderedPageBreak/>
              <w:t>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</w:t>
            </w:r>
            <w:r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 xml:space="preserve"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</w:t>
            </w:r>
            <w:r w:rsidRPr="006B4515">
              <w:lastRenderedPageBreak/>
              <w:t>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</w:t>
            </w:r>
            <w:r w:rsidRPr="006B4515">
              <w:lastRenderedPageBreak/>
              <w:t xml:space="preserve">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</w:t>
            </w:r>
            <w:proofErr w:type="spellStart"/>
            <w:r w:rsidRPr="006B4515">
              <w:t>tiret</w:t>
            </w:r>
            <w:proofErr w:type="spellEnd"/>
            <w:r w:rsidRPr="006B4515">
              <w:t xml:space="preserve">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proofErr w:type="spellStart"/>
            <w:r w:rsidRPr="002E2DC5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4"/>
        <w:sym w:font="Symbol" w:char="F02A"/>
      </w:r>
      <w:r w:rsidRPr="006B4515">
        <w:rPr>
          <w:rFonts w:eastAsia="Times New Roman" w:cs="Times New Roman"/>
        </w:rPr>
        <w:t>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 w:rsidR="001E1928" w:rsidRPr="00BA0A54">
        <w:rPr>
          <w:rStyle w:val="Odwoanieprzypisudolnego"/>
          <w:rFonts w:eastAsia="Times New Roman" w:cs="Times New Roman"/>
        </w:rPr>
        <w:footnoteReference w:customMarkFollows="1" w:id="5"/>
        <w:sym w:font="Symbol" w:char="F02A"/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6"/>
        <w:sym w:font="Symbol" w:char="F02A"/>
      </w:r>
      <w:r w:rsidRPr="006B4515">
        <w:rPr>
          <w:rFonts w:eastAsia="Times New Roman" w:cs="Times New Roman"/>
        </w:rPr>
        <w:t>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lastRenderedPageBreak/>
        <w:t>Wydatki związane z działaniami informacyjno-promocyjnymi projektu</w:t>
      </w:r>
      <w:r w:rsidR="00972A3D" w:rsidRPr="00972A3D">
        <w:rPr>
          <w:rStyle w:val="Odwoanieprzypisudolnego"/>
        </w:rPr>
        <w:footnoteReference w:customMarkFollows="1" w:id="7"/>
        <w:sym w:font="Symbol" w:char="F02A"/>
      </w:r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2" w:name="_Toc194291240"/>
      <w:bookmarkStart w:id="3" w:name="_Toc209405135"/>
      <w:r w:rsidRPr="006B4515">
        <w:rPr>
          <w:b/>
        </w:rPr>
        <w:t xml:space="preserve"> </w:t>
      </w:r>
      <w:bookmarkEnd w:id="2"/>
      <w:bookmarkEnd w:id="3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</w:t>
      </w:r>
      <w:proofErr w:type="spellStart"/>
      <w:r w:rsidRPr="006B4515">
        <w:rPr>
          <w:rFonts w:eastAsiaTheme="majorEastAsia" w:cstheme="majorBidi"/>
          <w:bCs/>
        </w:rPr>
        <w:t>a</w:t>
      </w:r>
      <w:proofErr w:type="spellEnd"/>
      <w:r w:rsidRPr="006B4515">
        <w:rPr>
          <w:rFonts w:eastAsiaTheme="majorEastAsia" w:cstheme="majorBidi"/>
          <w:bCs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6B4515">
        <w:rPr>
          <w:rFonts w:eastAsia="Calibri"/>
        </w:rPr>
        <w:t>hotelingiem</w:t>
      </w:r>
      <w:proofErr w:type="spellEnd"/>
      <w:r w:rsidRPr="006B4515">
        <w:rPr>
          <w:rFonts w:eastAsia="Calibri"/>
        </w:rPr>
        <w:t xml:space="preserve">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E1928" w:rsidRPr="00BA0A54">
        <w:rPr>
          <w:rStyle w:val="Odwoanieprzypisudolnego"/>
          <w:rFonts w:eastAsia="Calibri"/>
          <w:b/>
        </w:rPr>
        <w:footnoteReference w:customMarkFollows="1" w:id="8"/>
        <w:sym w:font="Symbol" w:char="F02A"/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lastRenderedPageBreak/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</w:t>
      </w:r>
      <w:r w:rsidR="001E1928" w:rsidRPr="00BA0A54">
        <w:rPr>
          <w:rStyle w:val="Odwoanieprzypisudolnego"/>
          <w:b/>
        </w:rPr>
        <w:footnoteReference w:customMarkFollows="1" w:id="9"/>
        <w:sym w:font="Symbol" w:char="F02A"/>
      </w:r>
      <w:r w:rsidRPr="006B4515">
        <w:t>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10"/>
        <w:sym w:font="Symbol" w:char="F02A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 xml:space="preserve">zmierzyć wskaźnikiem produktu lub rezultatu z </w:t>
      </w:r>
      <w:proofErr w:type="spellStart"/>
      <w:r w:rsidR="005C4AA9">
        <w:t>SzOOP</w:t>
      </w:r>
      <w:proofErr w:type="spellEnd"/>
      <w:r w:rsidR="005C4AA9">
        <w:t>, np. wspólny bilet, stacja ładowania pojazdów elektrycznych – niekwalifikowalne są wydatki ponad limit 49%</w:t>
      </w:r>
      <w:bookmarkStart w:id="4" w:name="_Hlk485204012"/>
      <w:r w:rsidR="001E1928" w:rsidRPr="00BA0A54">
        <w:rPr>
          <w:rStyle w:val="Odwoanieprzypisudolnego"/>
          <w:b/>
        </w:rPr>
        <w:footnoteReference w:customMarkFollows="1" w:id="11"/>
        <w:sym w:font="Symbol" w:char="F02A"/>
      </w:r>
      <w:bookmarkEnd w:id="4"/>
      <w:r w:rsidR="00BA0A54" w:rsidRPr="004642E8">
        <w:rPr>
          <w:rStyle w:val="Odwoanieprzypisudolnego"/>
          <w:b/>
        </w:rPr>
        <w:footnoteReference w:customMarkFollows="1" w:id="12"/>
        <w:sym w:font="Symbol" w:char="F02A"/>
      </w:r>
      <w:r w:rsidR="005C4AA9"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</w:t>
      </w:r>
      <w:r w:rsidR="002E2386" w:rsidRPr="006E71A1">
        <w:rPr>
          <w:rStyle w:val="Odwoanieprzypisudolnego"/>
        </w:rPr>
        <w:footnoteReference w:customMarkFollows="1" w:id="13"/>
        <w:sym w:font="Symbol" w:char="F02A"/>
      </w:r>
      <w:r w:rsidR="002E2386" w:rsidRPr="006E71A1">
        <w:rPr>
          <w:rStyle w:val="Odwoanieprzypisudolnego"/>
        </w:rPr>
        <w:footnoteReference w:customMarkFollows="1" w:id="14"/>
        <w:sym w:font="Symbol" w:char="F02A"/>
      </w:r>
      <w:r w:rsidRPr="006B4515">
        <w:t xml:space="preserve">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lastRenderedPageBreak/>
        <w:t xml:space="preserve">Powyższe limity nie podlegają sumowaniu, tzn. elementy uzupełniające muszą zawsze stanowić mniej niż </w:t>
      </w:r>
      <w:r w:rsidR="005514D5">
        <w:t>49</w:t>
      </w:r>
      <w:r w:rsidRPr="006B4515">
        <w:t>%</w:t>
      </w:r>
      <w:r w:rsidR="006E71A1" w:rsidRPr="006E71A1">
        <w:rPr>
          <w:rStyle w:val="Odwoanieprzypisudolnego"/>
        </w:rPr>
        <w:footnoteReference w:customMarkFollows="1" w:id="15"/>
        <w:sym w:font="Symbol" w:char="F02A"/>
      </w:r>
      <w:r w:rsidR="0001438D" w:rsidRPr="006E71A1">
        <w:rPr>
          <w:rStyle w:val="Odwoanieprzypisudolnego"/>
        </w:rPr>
        <w:footnoteReference w:customMarkFollows="1" w:id="16"/>
        <w:sym w:font="Symbol" w:char="F02A"/>
      </w:r>
      <w:r w:rsidRPr="006B4515">
        <w:t xml:space="preserve">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</w:t>
      </w:r>
      <w:r w:rsidR="0001438D" w:rsidRPr="0001438D">
        <w:rPr>
          <w:rStyle w:val="Odwoanieprzypisudolnego"/>
        </w:rPr>
        <w:footnoteReference w:customMarkFollows="1" w:id="17"/>
        <w:sym w:font="Symbol" w:char="F02A"/>
      </w:r>
      <w:r w:rsidR="0001438D" w:rsidRPr="0001438D">
        <w:rPr>
          <w:rStyle w:val="Odwoanieprzypisudolnego"/>
        </w:rPr>
        <w:footnoteReference w:customMarkFollows="1" w:id="18"/>
        <w:sym w:font="Symbol" w:char="F02A"/>
      </w:r>
      <w:r w:rsidRPr="006B4515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lastRenderedPageBreak/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19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20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21"/>
      </w:r>
      <w:r w:rsidRPr="006B4515">
        <w:t xml:space="preserve"> o funkcji wypoczynkowo-usługowej mogą stanowić wydatek kwalifikowalny tylko w części wypoczynkowej odpowiadającej MOP-I do wysokości 25% </w:t>
      </w:r>
      <w:r w:rsidRPr="006B4515">
        <w:lastRenderedPageBreak/>
        <w:t>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 xml:space="preserve">urządzenia techniczne drogi (np. bariery ochronne, ogrodzenie drogi i inne urządzenia zabezpieczające przed wkroczeniem zwierząt na drogę, osłony </w:t>
      </w:r>
      <w:proofErr w:type="spellStart"/>
      <w:r w:rsidRPr="006B4515">
        <w:t>przeciwolśnieniowe</w:t>
      </w:r>
      <w:proofErr w:type="spellEnd"/>
      <w:r w:rsidRPr="006B4515">
        <w:t>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22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23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lastRenderedPageBreak/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 w:rsidR="001E1928" w:rsidRPr="00BA0A54">
        <w:rPr>
          <w:rStyle w:val="Odwoanieprzypisudolnego"/>
          <w:b/>
        </w:rPr>
        <w:footnoteReference w:customMarkFollows="1" w:id="24"/>
        <w:t>*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25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6B4515">
        <w:rPr>
          <w:rFonts w:eastAsia="Times New Roman" w:cs="Times New Roman"/>
        </w:rPr>
        <w:t>telemedycyny</w:t>
      </w:r>
      <w:proofErr w:type="spellEnd"/>
      <w:r w:rsidRPr="006B4515">
        <w:rPr>
          <w:rFonts w:eastAsia="Times New Roman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</w:t>
      </w:r>
      <w:r w:rsidRPr="006B4515">
        <w:lastRenderedPageBreak/>
        <w:t xml:space="preserve">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26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</w:t>
      </w:r>
      <w:r w:rsidR="00D60F14">
        <w:t>e</w:t>
      </w:r>
      <w:r w:rsidRPr="006B4515">
        <w:t xml:space="preserve">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2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28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2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30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31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32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33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4"/>
        <w:sym w:font="Symbol" w:char="F02A"/>
      </w:r>
      <w:r w:rsidRPr="0001438D">
        <w:rPr>
          <w:rFonts w:eastAsia="Times New Roman" w:cs="Times New Roman"/>
        </w:rPr>
        <w:t>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35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3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7"/>
        <w:sym w:font="Symbol" w:char="F02A"/>
      </w:r>
      <w:r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5C" w:rsidRDefault="0002135C" w:rsidP="00BA376B">
      <w:pPr>
        <w:spacing w:after="0" w:line="240" w:lineRule="auto"/>
      </w:pPr>
      <w:r>
        <w:separator/>
      </w:r>
    </w:p>
  </w:endnote>
  <w:end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3979"/>
      <w:docPartObj>
        <w:docPartGallery w:val="Page Numbers (Bottom of Page)"/>
        <w:docPartUnique/>
      </w:docPartObj>
    </w:sdtPr>
    <w:sdtEndPr/>
    <w:sdtContent>
      <w:p w:rsidR="0002135C" w:rsidRDefault="003951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135C" w:rsidRDefault="0002135C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5C" w:rsidRDefault="0002135C" w:rsidP="00BA376B">
      <w:pPr>
        <w:spacing w:after="0" w:line="240" w:lineRule="auto"/>
      </w:pPr>
      <w:r>
        <w:separator/>
      </w:r>
    </w:p>
  </w:footnote>
  <w:foot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footnote>
  <w:footnote w:id="1">
    <w:p w:rsidR="0002135C" w:rsidRDefault="000213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02135C" w:rsidRDefault="0002135C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02135C" w:rsidRDefault="0002135C" w:rsidP="00DC41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5">
    <w:p w:rsidR="0002135C" w:rsidRDefault="0002135C">
      <w:pPr>
        <w:pStyle w:val="Tekstprzypisudolnego"/>
      </w:pPr>
    </w:p>
  </w:footnote>
  <w:footnote w:id="6">
    <w:p w:rsidR="0002135C" w:rsidRDefault="0002135C">
      <w:pPr>
        <w:pStyle w:val="Tekstprzypisudolnego"/>
      </w:pPr>
    </w:p>
  </w:footnote>
  <w:footnote w:id="7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8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9">
    <w:p w:rsidR="0002135C" w:rsidRDefault="0002135C">
      <w:pPr>
        <w:pStyle w:val="Tekstprzypisudolnego"/>
      </w:pPr>
      <w:r w:rsidRPr="006E71A1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10">
    <w:p w:rsidR="0002135C" w:rsidRDefault="0002135C">
      <w:pPr>
        <w:pStyle w:val="Tekstprzypisudolnego"/>
      </w:pPr>
    </w:p>
  </w:footnote>
  <w:footnote w:id="11">
    <w:p w:rsidR="0002135C" w:rsidRDefault="0002135C">
      <w:pPr>
        <w:pStyle w:val="Tekstprzypisudolnego"/>
      </w:pPr>
    </w:p>
  </w:footnote>
  <w:footnote w:id="12">
    <w:p w:rsidR="00BA0A54" w:rsidRDefault="00BA0A54" w:rsidP="00BA0A54">
      <w:pPr>
        <w:pStyle w:val="Tekstprzypisudolnego"/>
      </w:pPr>
    </w:p>
  </w:footnote>
  <w:footnote w:id="13">
    <w:p w:rsidR="0002135C" w:rsidRDefault="0002135C" w:rsidP="002E2386">
      <w:pPr>
        <w:pStyle w:val="Tekstprzypisudolnego"/>
      </w:pPr>
      <w:r w:rsidRPr="006E71A1">
        <w:rPr>
          <w:rStyle w:val="Odwoanieprzypisudolnego"/>
        </w:rPr>
        <w:sym w:font="Symbol" w:char="F02A"/>
      </w:r>
      <w:r w:rsidRPr="006E71A1">
        <w:rPr>
          <w:rStyle w:val="Odwoanieprzypisudolnego"/>
        </w:rPr>
        <w:sym w:font="Symbol" w:char="F02A"/>
      </w:r>
      <w:r>
        <w:t xml:space="preserve"> Dla konkursów ogłoszonych przed 16.01.2017 r. – 50%.</w:t>
      </w:r>
    </w:p>
  </w:footnote>
  <w:footnote w:id="14">
    <w:p w:rsidR="0002135C" w:rsidRDefault="0002135C" w:rsidP="002E2386">
      <w:pPr>
        <w:pStyle w:val="Tekstprzypisudolnego"/>
      </w:pPr>
    </w:p>
  </w:footnote>
  <w:footnote w:id="15">
    <w:p w:rsidR="0002135C" w:rsidRDefault="0002135C">
      <w:pPr>
        <w:pStyle w:val="Tekstprzypisudolnego"/>
      </w:pPr>
    </w:p>
  </w:footnote>
  <w:footnote w:id="16">
    <w:p w:rsidR="0002135C" w:rsidRDefault="0002135C" w:rsidP="0001438D">
      <w:pPr>
        <w:pStyle w:val="Tekstprzypisudolnego"/>
      </w:pPr>
    </w:p>
  </w:footnote>
  <w:footnote w:id="17">
    <w:p w:rsidR="0002135C" w:rsidRDefault="0002135C" w:rsidP="0001438D">
      <w:pPr>
        <w:pStyle w:val="Tekstprzypisudolnego"/>
      </w:pPr>
    </w:p>
  </w:footnote>
  <w:footnote w:id="18">
    <w:p w:rsidR="0002135C" w:rsidRDefault="0002135C">
      <w:pPr>
        <w:pStyle w:val="Tekstprzypisudolnego"/>
      </w:pPr>
    </w:p>
  </w:footnote>
  <w:footnote w:id="1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3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4">
    <w:p w:rsidR="0002135C" w:rsidRDefault="0002135C">
      <w:pPr>
        <w:pStyle w:val="Tekstprzypisudolnego"/>
      </w:pPr>
      <w:r>
        <w:rPr>
          <w:rStyle w:val="Odwoanieprzypisudolnego"/>
        </w:rPr>
        <w:t>*</w:t>
      </w:r>
      <w:r>
        <w:t xml:space="preserve"> Dotyczy konkursów ogłoszonych po 16.01.2017 r.</w:t>
      </w:r>
    </w:p>
  </w:footnote>
  <w:footnote w:id="25">
    <w:p w:rsidR="0002135C" w:rsidRPr="001C7384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02135C" w:rsidRDefault="0002135C" w:rsidP="00A23F33">
      <w:pPr>
        <w:pStyle w:val="Tekstprzypisudolnego"/>
        <w:jc w:val="both"/>
      </w:pPr>
    </w:p>
  </w:footnote>
  <w:footnote w:id="26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7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8">
    <w:p w:rsidR="0002135C" w:rsidRPr="0009655D" w:rsidRDefault="0002135C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3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3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3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33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34">
    <w:p w:rsidR="0002135C" w:rsidRDefault="0002135C">
      <w:pPr>
        <w:pStyle w:val="Tekstprzypisudolnego"/>
      </w:pPr>
      <w:r w:rsidRPr="0001438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35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36">
    <w:p w:rsidR="0002135C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37">
    <w:p w:rsidR="0002135C" w:rsidRDefault="00021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0"/>
  </w:num>
  <w:num w:numId="12">
    <w:abstractNumId w:val="2"/>
  </w:num>
  <w:num w:numId="13">
    <w:abstractNumId w:val="14"/>
  </w:num>
  <w:num w:numId="14">
    <w:abstractNumId w:val="38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13"/>
  </w:num>
  <w:num w:numId="20">
    <w:abstractNumId w:val="28"/>
  </w:num>
  <w:num w:numId="21">
    <w:abstractNumId w:val="33"/>
  </w:num>
  <w:num w:numId="22">
    <w:abstractNumId w:val="30"/>
  </w:num>
  <w:num w:numId="23">
    <w:abstractNumId w:val="36"/>
  </w:num>
  <w:num w:numId="24">
    <w:abstractNumId w:val="23"/>
  </w:num>
  <w:num w:numId="25">
    <w:abstractNumId w:val="37"/>
  </w:num>
  <w:num w:numId="26">
    <w:abstractNumId w:val="19"/>
  </w:num>
  <w:num w:numId="27">
    <w:abstractNumId w:val="31"/>
  </w:num>
  <w:num w:numId="28">
    <w:abstractNumId w:val="29"/>
  </w:num>
  <w:num w:numId="29">
    <w:abstractNumId w:val="9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76B"/>
    <w:rsid w:val="00004C9E"/>
    <w:rsid w:val="00006885"/>
    <w:rsid w:val="00011EB2"/>
    <w:rsid w:val="0001438D"/>
    <w:rsid w:val="0002135C"/>
    <w:rsid w:val="0003417B"/>
    <w:rsid w:val="0003532D"/>
    <w:rsid w:val="00083CEF"/>
    <w:rsid w:val="00084C67"/>
    <w:rsid w:val="0008638F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46477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1928"/>
    <w:rsid w:val="001E33E2"/>
    <w:rsid w:val="001F2B8F"/>
    <w:rsid w:val="001F7D9D"/>
    <w:rsid w:val="0020153F"/>
    <w:rsid w:val="002160BC"/>
    <w:rsid w:val="00243F87"/>
    <w:rsid w:val="002464C4"/>
    <w:rsid w:val="0025620F"/>
    <w:rsid w:val="00261786"/>
    <w:rsid w:val="002618A4"/>
    <w:rsid w:val="00262CBA"/>
    <w:rsid w:val="00267983"/>
    <w:rsid w:val="002800FC"/>
    <w:rsid w:val="002A1E9F"/>
    <w:rsid w:val="002C5B11"/>
    <w:rsid w:val="002E0308"/>
    <w:rsid w:val="002E2386"/>
    <w:rsid w:val="002E2DC5"/>
    <w:rsid w:val="002E4C4C"/>
    <w:rsid w:val="002F2152"/>
    <w:rsid w:val="00300834"/>
    <w:rsid w:val="003128AA"/>
    <w:rsid w:val="003260E2"/>
    <w:rsid w:val="0033048A"/>
    <w:rsid w:val="0033340B"/>
    <w:rsid w:val="003463E9"/>
    <w:rsid w:val="00352F66"/>
    <w:rsid w:val="0035767B"/>
    <w:rsid w:val="00370D86"/>
    <w:rsid w:val="00384A7D"/>
    <w:rsid w:val="003865F7"/>
    <w:rsid w:val="003878D6"/>
    <w:rsid w:val="0039514F"/>
    <w:rsid w:val="003A2CB6"/>
    <w:rsid w:val="003B2988"/>
    <w:rsid w:val="003F0BE3"/>
    <w:rsid w:val="003F3E56"/>
    <w:rsid w:val="0040430E"/>
    <w:rsid w:val="00405F6A"/>
    <w:rsid w:val="00420900"/>
    <w:rsid w:val="00431815"/>
    <w:rsid w:val="00437EDB"/>
    <w:rsid w:val="00440827"/>
    <w:rsid w:val="0044751A"/>
    <w:rsid w:val="00454E85"/>
    <w:rsid w:val="00480147"/>
    <w:rsid w:val="0048731C"/>
    <w:rsid w:val="004971D5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72698"/>
    <w:rsid w:val="005A05C2"/>
    <w:rsid w:val="005A1C33"/>
    <w:rsid w:val="005A2AD0"/>
    <w:rsid w:val="005C4AA9"/>
    <w:rsid w:val="005E0959"/>
    <w:rsid w:val="005E77EA"/>
    <w:rsid w:val="006322F0"/>
    <w:rsid w:val="0065628C"/>
    <w:rsid w:val="00672D78"/>
    <w:rsid w:val="00673263"/>
    <w:rsid w:val="006740FC"/>
    <w:rsid w:val="006902BC"/>
    <w:rsid w:val="00694CDD"/>
    <w:rsid w:val="006A104F"/>
    <w:rsid w:val="006B4515"/>
    <w:rsid w:val="006C1838"/>
    <w:rsid w:val="006D6172"/>
    <w:rsid w:val="006D7B9D"/>
    <w:rsid w:val="006E71A1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C55F5"/>
    <w:rsid w:val="008D303E"/>
    <w:rsid w:val="008E069B"/>
    <w:rsid w:val="008E5643"/>
    <w:rsid w:val="008F27E5"/>
    <w:rsid w:val="008F7051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2A3D"/>
    <w:rsid w:val="00975738"/>
    <w:rsid w:val="00981291"/>
    <w:rsid w:val="009962EA"/>
    <w:rsid w:val="009964AC"/>
    <w:rsid w:val="009A053B"/>
    <w:rsid w:val="009B3E6D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12DBF"/>
    <w:rsid w:val="00A2094C"/>
    <w:rsid w:val="00A23F33"/>
    <w:rsid w:val="00A326B2"/>
    <w:rsid w:val="00A37FB6"/>
    <w:rsid w:val="00A41909"/>
    <w:rsid w:val="00A55E66"/>
    <w:rsid w:val="00A67324"/>
    <w:rsid w:val="00A70007"/>
    <w:rsid w:val="00AA1384"/>
    <w:rsid w:val="00AD459A"/>
    <w:rsid w:val="00AE3F41"/>
    <w:rsid w:val="00B37DFD"/>
    <w:rsid w:val="00B46DBB"/>
    <w:rsid w:val="00B73188"/>
    <w:rsid w:val="00B75AFB"/>
    <w:rsid w:val="00B779C7"/>
    <w:rsid w:val="00BA0A54"/>
    <w:rsid w:val="00BA376B"/>
    <w:rsid w:val="00BA69A3"/>
    <w:rsid w:val="00BB6C1F"/>
    <w:rsid w:val="00BF6BA2"/>
    <w:rsid w:val="00BF7A1E"/>
    <w:rsid w:val="00C10F6C"/>
    <w:rsid w:val="00C1514B"/>
    <w:rsid w:val="00C34307"/>
    <w:rsid w:val="00C569B0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60F14"/>
    <w:rsid w:val="00D71A33"/>
    <w:rsid w:val="00D82006"/>
    <w:rsid w:val="00D82864"/>
    <w:rsid w:val="00D82B9D"/>
    <w:rsid w:val="00D962FC"/>
    <w:rsid w:val="00DA2D40"/>
    <w:rsid w:val="00DB22A0"/>
    <w:rsid w:val="00DB3EEB"/>
    <w:rsid w:val="00DC0D5F"/>
    <w:rsid w:val="00DC344B"/>
    <w:rsid w:val="00DC41A5"/>
    <w:rsid w:val="00DC7B18"/>
    <w:rsid w:val="00DE67FD"/>
    <w:rsid w:val="00E02300"/>
    <w:rsid w:val="00E06B87"/>
    <w:rsid w:val="00E20765"/>
    <w:rsid w:val="00E32EED"/>
    <w:rsid w:val="00E35143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9EA"/>
    <w:rsid w:val="00F73E38"/>
    <w:rsid w:val="00F96969"/>
    <w:rsid w:val="00FA65C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B1C"/>
  <w15:docId w15:val="{21C009CA-0560-43C9-A60D-21A39CD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BFEF-E90E-41EC-8A7E-7A8F7D1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6019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 d</cp:lastModifiedBy>
  <cp:revision>6</cp:revision>
  <cp:lastPrinted>2017-01-05T10:38:00Z</cp:lastPrinted>
  <dcterms:created xsi:type="dcterms:W3CDTF">2017-06-08T10:56:00Z</dcterms:created>
  <dcterms:modified xsi:type="dcterms:W3CDTF">2017-07-17T12:19:00Z</dcterms:modified>
</cp:coreProperties>
</file>