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042236" w:rsidRDefault="00BA376B" w:rsidP="00C10F6C">
      <w:pPr>
        <w:spacing w:line="240" w:lineRule="auto"/>
        <w:jc w:val="both"/>
      </w:pPr>
      <w:bookmarkStart w:id="0" w:name="_GoBack"/>
      <w:bookmarkEnd w:id="0"/>
      <w:r w:rsidRPr="00042236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71741" w:rsidRPr="0078012E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lang w:eastAsia="en-US"/>
        </w:rPr>
      </w:pPr>
      <w:r w:rsidRPr="0078012E">
        <w:rPr>
          <w:rFonts w:cs="Arial"/>
          <w:lang w:eastAsia="en-US"/>
        </w:rPr>
        <w:t xml:space="preserve">Załącznik nr 7 do Szczegółowego opisu osi priorytetowych RPO WD 2014-2020 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Arial"/>
          <w:color w:val="000000" w:themeColor="text1"/>
          <w:sz w:val="24"/>
          <w:szCs w:val="20"/>
          <w:lang w:eastAsia="en-US"/>
        </w:rPr>
      </w:pPr>
      <w:r w:rsidRPr="0078012E">
        <w:rPr>
          <w:rFonts w:cs="Arial"/>
          <w:color w:val="000000" w:themeColor="text1"/>
          <w:lang w:eastAsia="en-US"/>
        </w:rPr>
        <w:t xml:space="preserve">z dnia </w:t>
      </w:r>
      <w:r w:rsidR="0078012E" w:rsidRPr="0078012E">
        <w:rPr>
          <w:color w:val="000000" w:themeColor="text1"/>
        </w:rPr>
        <w:t>10 października 2017 r</w:t>
      </w:r>
      <w:r w:rsidR="0078012E">
        <w:rPr>
          <w:color w:val="000000" w:themeColor="text1"/>
        </w:rPr>
        <w:t>.</w:t>
      </w:r>
    </w:p>
    <w:p w:rsidR="00B71741" w:rsidRPr="00B71741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de minimis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A23F33" w:rsidRPr="00042236" w:rsidRDefault="000D0455" w:rsidP="003A2CB6">
      <w:pPr>
        <w:jc w:val="both"/>
        <w:rPr>
          <w:b/>
        </w:rPr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 przepisów prawa.</w:t>
      </w:r>
      <w:r w:rsidR="00474CDD"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 xml:space="preserve">po 31 grudnia 2023 r. (na poziomie Programu) oraz </w:t>
            </w:r>
            <w:r w:rsidRPr="00042236">
              <w:br/>
            </w:r>
            <w:r w:rsidRPr="00042236">
              <w:lastRenderedPageBreak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>1.4 Bc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r w:rsidRPr="00042236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42236" w:rsidRDefault="00FC3DFA" w:rsidP="00FC3DFA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Zakup gruntu</w:t>
            </w:r>
            <w:r w:rsidRPr="00042236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042236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>zmierzyć wskaźnikiem produktu lub rezultatu z SzOOP,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D8" w:rsidRDefault="00BC45D8" w:rsidP="00BA376B">
      <w:pPr>
        <w:spacing w:after="0" w:line="240" w:lineRule="auto"/>
      </w:pPr>
      <w:r>
        <w:separator/>
      </w:r>
    </w:p>
  </w:endnote>
  <w:endnote w:type="continuationSeparator" w:id="0">
    <w:p w:rsidR="00BC45D8" w:rsidRDefault="00BC45D8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D57C7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D1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D8" w:rsidRDefault="00BC45D8" w:rsidP="00BA376B">
      <w:pPr>
        <w:spacing w:after="0" w:line="240" w:lineRule="auto"/>
      </w:pPr>
      <w:r>
        <w:separator/>
      </w:r>
    </w:p>
  </w:footnote>
  <w:footnote w:type="continuationSeparator" w:id="0">
    <w:p w:rsidR="00BC45D8" w:rsidRDefault="00BC45D8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763C2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F14EF"/>
    <w:rsid w:val="00CF1577"/>
    <w:rsid w:val="00D12835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FCB9-DBE2-4B97-A653-249D7E2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5A48-2B63-4EAC-8350-68DB1675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6311</Words>
  <Characters>37871</Characters>
  <Application>Microsoft Office Word</Application>
  <DocSecurity>4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2017-09-15T06:14:00Z</cp:lastPrinted>
  <dcterms:created xsi:type="dcterms:W3CDTF">2017-10-11T10:30:00Z</dcterms:created>
  <dcterms:modified xsi:type="dcterms:W3CDTF">2017-10-11T10:30:00Z</dcterms:modified>
</cp:coreProperties>
</file>