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BF5A287" w:rsidR="001A663C" w:rsidRPr="00E928D9" w:rsidRDefault="001A663C" w:rsidP="0062025A">
      <w:pPr>
        <w:ind w:left="1440"/>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4D5EC5">
        <w:rPr>
          <w:rFonts w:asciiTheme="minorHAnsi" w:hAnsiTheme="minorHAnsi"/>
          <w:sz w:val="20"/>
        </w:rPr>
        <w:t>25 września 2018</w:t>
      </w:r>
      <w:r w:rsidR="007F5970">
        <w:rPr>
          <w:rFonts w:asciiTheme="minorHAnsi" w:hAnsiTheme="minorHAnsi"/>
          <w:sz w:val="20"/>
        </w:rPr>
        <w:t xml:space="preserve">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61358D19" w14:textId="77777777" w:rsidR="00762C52" w:rsidRDefault="00762C52" w:rsidP="001A663C">
      <w:pPr>
        <w:jc w:val="center"/>
        <w:rPr>
          <w:rFonts w:asciiTheme="minorHAnsi" w:hAnsiTheme="minorHAnsi"/>
          <w:b/>
          <w:sz w:val="32"/>
          <w:szCs w:val="32"/>
        </w:rPr>
      </w:pPr>
    </w:p>
    <w:p w14:paraId="5E72E1CE" w14:textId="77777777" w:rsidR="00762C52" w:rsidRPr="00E928D9" w:rsidRDefault="00762C52" w:rsidP="001A663C">
      <w:pPr>
        <w:jc w:val="center"/>
        <w:rPr>
          <w:rFonts w:asciiTheme="minorHAnsi" w:hAnsiTheme="minorHAnsi"/>
          <w:b/>
          <w:sz w:val="32"/>
          <w:szCs w:val="32"/>
        </w:rPr>
      </w:pP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0DF4E425" w:rsidR="00E928D9" w:rsidRPr="003A16D5" w:rsidRDefault="00145DD4" w:rsidP="00DD7C16">
          <w:pPr>
            <w:pStyle w:val="Spistreci2"/>
            <w:tabs>
              <w:tab w:val="left" w:pos="9214"/>
            </w:tabs>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8 ………………………………</w:t>
          </w:r>
          <w:r w:rsidR="00DD7C16">
            <w:rPr>
              <w:rStyle w:val="Hipercze"/>
              <w:rFonts w:asciiTheme="minorHAnsi" w:hAnsiTheme="minorHAnsi" w:cstheme="minorHAnsi"/>
              <w:noProof/>
              <w:color w:val="auto"/>
              <w:sz w:val="28"/>
              <w:szCs w:val="28"/>
              <w:u w:val="none"/>
            </w:rPr>
            <w:t>…</w:t>
          </w:r>
          <w:r w:rsidR="00956FD4" w:rsidRPr="00956FD4">
            <w:rPr>
              <w:rStyle w:val="Hipercze"/>
              <w:rFonts w:asciiTheme="minorHAnsi" w:hAnsiTheme="minorHAnsi" w:cstheme="minorHAnsi"/>
              <w:noProof/>
              <w:color w:val="auto"/>
              <w:sz w:val="28"/>
              <w:szCs w:val="28"/>
              <w:u w:val="none"/>
            </w:rPr>
            <w:t xml:space="preserve">…… </w:t>
          </w:r>
          <w:r w:rsidR="00BB2251">
            <w:rPr>
              <w:rStyle w:val="Hipercze"/>
              <w:rFonts w:asciiTheme="minorHAnsi" w:hAnsiTheme="minorHAnsi" w:cstheme="minorHAnsi"/>
              <w:noProof/>
              <w:color w:val="auto"/>
              <w:sz w:val="28"/>
              <w:szCs w:val="28"/>
              <w:u w:val="none"/>
            </w:rPr>
            <w:t>2</w:t>
          </w:r>
        </w:p>
        <w:p w14:paraId="61D6A293" w14:textId="2C473143"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9 ………………………………</w:t>
          </w:r>
          <w:r w:rsidR="00762C52">
            <w:rPr>
              <w:rStyle w:val="Hipercze"/>
              <w:rFonts w:asciiTheme="minorHAnsi" w:hAnsiTheme="minorHAnsi" w:cstheme="minorHAnsi"/>
              <w:caps w:val="0"/>
              <w:noProof/>
              <w:color w:val="auto"/>
              <w:sz w:val="28"/>
              <w:szCs w:val="28"/>
              <w:u w:val="none"/>
            </w:rPr>
            <w:t>..</w:t>
          </w:r>
          <w:r w:rsidR="00D01D44">
            <w:rPr>
              <w:rStyle w:val="Hipercze"/>
              <w:rFonts w:asciiTheme="minorHAnsi" w:hAnsiTheme="minorHAnsi" w:cstheme="minorHAnsi"/>
              <w:caps w:val="0"/>
              <w:noProof/>
              <w:color w:val="auto"/>
              <w:sz w:val="28"/>
              <w:szCs w:val="28"/>
              <w:u w:val="none"/>
            </w:rPr>
            <w:t xml:space="preserve">….. </w:t>
          </w:r>
          <w:r w:rsidR="00BB2251">
            <w:rPr>
              <w:rStyle w:val="Hipercze"/>
              <w:rFonts w:asciiTheme="minorHAnsi" w:hAnsiTheme="minorHAnsi" w:cstheme="minorHAnsi"/>
              <w:caps w:val="0"/>
              <w:noProof/>
              <w:color w:val="auto"/>
              <w:sz w:val="28"/>
              <w:szCs w:val="28"/>
              <w:u w:val="none"/>
            </w:rPr>
            <w:t>57</w:t>
          </w:r>
        </w:p>
        <w:p w14:paraId="0227BC4B" w14:textId="4ECFA95F"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r w:rsidR="00762C52">
            <w:rPr>
              <w:rStyle w:val="Hipercze"/>
              <w:rFonts w:asciiTheme="minorHAnsi" w:hAnsiTheme="minorHAnsi" w:cstheme="minorHAnsi"/>
              <w:caps w:val="0"/>
              <w:noProof/>
              <w:color w:val="auto"/>
              <w:sz w:val="28"/>
              <w:szCs w:val="28"/>
              <w:u w:val="none"/>
            </w:rPr>
            <w:t>10</w:t>
          </w:r>
          <w:r w:rsidR="00762C52" w:rsidRPr="00BB2251">
            <w:rPr>
              <w:rStyle w:val="Hipercze"/>
              <w:rFonts w:asciiTheme="minorHAnsi" w:hAnsiTheme="minorHAnsi" w:cstheme="minorHAnsi"/>
              <w:caps w:val="0"/>
              <w:noProof/>
              <w:color w:val="auto"/>
              <w:sz w:val="24"/>
              <w:szCs w:val="24"/>
              <w:u w:val="none"/>
            </w:rPr>
            <w:t xml:space="preserve"> </w:t>
          </w:r>
          <w:r w:rsidR="00762C52" w:rsidRPr="00BB2251">
            <w:rPr>
              <w:rFonts w:asciiTheme="minorHAnsi" w:hAnsiTheme="minorHAnsi"/>
              <w:sz w:val="24"/>
              <w:szCs w:val="24"/>
            </w:rPr>
            <w:t>……………………………….……</w:t>
          </w:r>
          <w:r w:rsidR="00BB2251">
            <w:rPr>
              <w:rFonts w:asciiTheme="minorHAnsi" w:hAnsiTheme="minorHAnsi"/>
              <w:sz w:val="24"/>
              <w:szCs w:val="24"/>
            </w:rPr>
            <w:t>..</w:t>
          </w:r>
          <w:r w:rsidR="00762C52" w:rsidRPr="00BB2251">
            <w:rPr>
              <w:rFonts w:asciiTheme="minorHAnsi" w:hAnsiTheme="minorHAnsi"/>
              <w:sz w:val="24"/>
              <w:szCs w:val="24"/>
            </w:rPr>
            <w:t xml:space="preserve">. </w:t>
          </w:r>
          <w:r w:rsidR="00BB2251" w:rsidRPr="00BB2251">
            <w:rPr>
              <w:rStyle w:val="Hipercze"/>
              <w:rFonts w:asciiTheme="minorHAnsi" w:hAnsiTheme="minorHAnsi" w:cstheme="minorHAnsi"/>
              <w:caps w:val="0"/>
              <w:noProof/>
              <w:color w:val="auto"/>
              <w:sz w:val="28"/>
              <w:szCs w:val="28"/>
              <w:u w:val="none"/>
            </w:rPr>
            <w:t>116</w:t>
          </w:r>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5FC3223C" w14:textId="4A05F50F" w:rsidR="00D26E2F" w:rsidRDefault="001A663C" w:rsidP="003A16D5">
          <w:pPr>
            <w:pStyle w:val="Spistreci1"/>
            <w:tabs>
              <w:tab w:val="right" w:leader="dot" w:pos="9912"/>
            </w:tabs>
            <w:spacing w:line="360" w:lineRule="auto"/>
            <w:rPr>
              <w:rFonts w:asciiTheme="minorHAnsi" w:hAnsiTheme="minorHAnsi" w:cstheme="minorHAnsi"/>
              <w:b/>
              <w:bCs/>
              <w:sz w:val="28"/>
              <w:szCs w:val="28"/>
            </w:rPr>
          </w:pPr>
          <w:r w:rsidRPr="003A16D5">
            <w:rPr>
              <w:rFonts w:asciiTheme="minorHAnsi" w:hAnsiTheme="minorHAnsi" w:cstheme="minorHAnsi"/>
              <w:b/>
              <w:bCs/>
              <w:sz w:val="28"/>
              <w:szCs w:val="28"/>
            </w:rPr>
            <w:fldChar w:fldCharType="end"/>
          </w:r>
        </w:p>
        <w:p w14:paraId="15222124" w14:textId="77777777" w:rsidR="00D26E2F" w:rsidRDefault="00D26E2F" w:rsidP="00D26E2F"/>
        <w:p w14:paraId="6B367B3C" w14:textId="5983AE48" w:rsidR="0062025A" w:rsidRDefault="0062025A" w:rsidP="00D26E2F"/>
        <w:p w14:paraId="032D8B7F" w14:textId="5C053A8D" w:rsidR="001A663C" w:rsidRPr="00D26E2F" w:rsidRDefault="00065017" w:rsidP="00D26E2F"/>
      </w:sdtContent>
    </w:sdt>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77777777" w:rsidR="00C92810" w:rsidRPr="009C70B2" w:rsidRDefault="00C92810" w:rsidP="00C92810">
            <w:pPr>
              <w:spacing w:line="276" w:lineRule="auto"/>
              <w:jc w:val="center"/>
              <w:rPr>
                <w:rFonts w:ascii="Arial" w:hAnsi="Arial" w:cs="Arial"/>
                <w:b/>
                <w:sz w:val="24"/>
                <w:szCs w:val="24"/>
              </w:rPr>
            </w:pPr>
            <w:bookmarkStart w:id="1"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2" w:name="_Hlk498345251"/>
            <w:r w:rsidRPr="009C70B2">
              <w:rPr>
                <w:rFonts w:ascii="Arial" w:hAnsi="Arial" w:cs="Arial"/>
                <w:sz w:val="18"/>
                <w:szCs w:val="18"/>
              </w:rPr>
              <w:t>PI 8.i</w:t>
            </w:r>
            <w:bookmarkEnd w:id="2"/>
          </w:p>
        </w:tc>
      </w:tr>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lastRenderedPageBreak/>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w:t>
            </w:r>
            <w:r w:rsidRPr="009C70B2">
              <w:rPr>
                <w:rFonts w:ascii="Arial" w:hAnsi="Arial" w:cs="Arial"/>
                <w:sz w:val="18"/>
                <w:szCs w:val="18"/>
              </w:rPr>
              <w:lastRenderedPageBreak/>
              <w:t>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SzOOP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lastRenderedPageBreak/>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3"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3"/>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w zakresie profilaktyki chorób odkleszczowych</w:t>
            </w:r>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3.     Czy działania przewidziane do realizacji w projekcie przez projektodawcę oraz ewentualnych partnerów są zgodne z Regionalnym Programem Polityki Zdrowotnej Województwa Dolnośląskiego w zakresie profilaktyki chorób odkleszczowych?</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Wnioskodawca powinien we wniosku złożyć oświadczenie, że realizacja projektu będzie zgodna z Regionalnym Programem Polityki Zdrowotnej Województwa Dolnośląskiego w zakresie profilaktyki chorób odkleszczowych.</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jst;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Czy projekt jest zgodny z zapisami SzOOP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Pl 8.i będzie dotyczył projektu r</w:t>
            </w:r>
            <w:r w:rsidRPr="00763C87">
              <w:rPr>
                <w:sz w:val="18"/>
                <w:szCs w:val="18"/>
              </w:rPr>
              <w:t xml:space="preserve">ealizowanego przez wojewódzki urząd pracy, który z mocy ustawy o promocji zatrudnienia i instytucjach rynku pracy (Dz. U. z 2013 r. poz. 674, tekst jednolity z </w:t>
            </w:r>
            <w:r>
              <w:rPr>
                <w:sz w:val="18"/>
                <w:szCs w:val="18"/>
              </w:rPr>
              <w:t>późn.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21E316B7" w:rsidR="00C92810" w:rsidRDefault="00C92810" w:rsidP="00C92810">
      <w:pPr>
        <w:spacing w:line="276" w:lineRule="auto"/>
        <w:rPr>
          <w:rFonts w:ascii="Arial" w:hAnsi="Arial" w:cs="Arial"/>
          <w:b/>
          <w:sz w:val="24"/>
          <w:szCs w:val="24"/>
        </w:rPr>
      </w:pPr>
    </w:p>
    <w:p w14:paraId="1FEB3509" w14:textId="1D5E69D9" w:rsidR="00344A4D" w:rsidRDefault="00344A4D" w:rsidP="00C92810">
      <w:pPr>
        <w:spacing w:line="276" w:lineRule="auto"/>
        <w:rPr>
          <w:rFonts w:ascii="Arial" w:hAnsi="Arial" w:cs="Arial"/>
          <w:b/>
          <w:sz w:val="24"/>
          <w:szCs w:val="24"/>
        </w:rPr>
      </w:pPr>
    </w:p>
    <w:p w14:paraId="4A0F5990" w14:textId="49EBB7D6" w:rsidR="00344A4D" w:rsidRDefault="00344A4D" w:rsidP="00C92810">
      <w:pPr>
        <w:spacing w:line="276" w:lineRule="auto"/>
        <w:rPr>
          <w:rFonts w:ascii="Arial" w:hAnsi="Arial" w:cs="Arial"/>
          <w:b/>
          <w:sz w:val="24"/>
          <w:szCs w:val="24"/>
        </w:rPr>
      </w:pPr>
    </w:p>
    <w:p w14:paraId="72F8745D" w14:textId="40951C01" w:rsidR="00344A4D" w:rsidRDefault="00344A4D" w:rsidP="00C92810">
      <w:pPr>
        <w:spacing w:line="276" w:lineRule="auto"/>
        <w:rPr>
          <w:rFonts w:ascii="Arial" w:hAnsi="Arial" w:cs="Arial"/>
          <w:b/>
          <w:sz w:val="24"/>
          <w:szCs w:val="24"/>
        </w:rPr>
      </w:pPr>
    </w:p>
    <w:p w14:paraId="336034E5" w14:textId="0CDA0990" w:rsidR="00344A4D" w:rsidRDefault="00344A4D" w:rsidP="00C92810">
      <w:pPr>
        <w:spacing w:line="276" w:lineRule="auto"/>
        <w:rPr>
          <w:rFonts w:ascii="Arial" w:hAnsi="Arial" w:cs="Arial"/>
          <w:b/>
          <w:sz w:val="24"/>
          <w:szCs w:val="24"/>
        </w:rPr>
      </w:pPr>
    </w:p>
    <w:p w14:paraId="23ADA105" w14:textId="57071023" w:rsidR="00344A4D" w:rsidRDefault="00344A4D" w:rsidP="00C92810">
      <w:pPr>
        <w:spacing w:line="276" w:lineRule="auto"/>
        <w:rPr>
          <w:rFonts w:ascii="Arial" w:hAnsi="Arial" w:cs="Arial"/>
          <w:b/>
          <w:sz w:val="24"/>
          <w:szCs w:val="24"/>
        </w:rPr>
      </w:pPr>
    </w:p>
    <w:p w14:paraId="4502E7F4" w14:textId="1B89624C" w:rsidR="00344A4D" w:rsidRDefault="00344A4D" w:rsidP="00C92810">
      <w:pPr>
        <w:spacing w:line="276" w:lineRule="auto"/>
        <w:rPr>
          <w:rFonts w:ascii="Arial" w:hAnsi="Arial" w:cs="Arial"/>
          <w:b/>
          <w:sz w:val="24"/>
          <w:szCs w:val="24"/>
        </w:rPr>
      </w:pPr>
    </w:p>
    <w:p w14:paraId="008CAB3F" w14:textId="2F9234C1" w:rsidR="00344A4D" w:rsidRDefault="00344A4D" w:rsidP="00C92810">
      <w:pPr>
        <w:spacing w:line="276" w:lineRule="auto"/>
        <w:rPr>
          <w:rFonts w:ascii="Arial" w:hAnsi="Arial" w:cs="Arial"/>
          <w:b/>
          <w:sz w:val="24"/>
          <w:szCs w:val="24"/>
        </w:rPr>
      </w:pPr>
    </w:p>
    <w:p w14:paraId="16FE91AE" w14:textId="3F277CB7" w:rsidR="00344A4D" w:rsidRDefault="00344A4D" w:rsidP="00C92810">
      <w:pPr>
        <w:spacing w:line="276" w:lineRule="auto"/>
        <w:rPr>
          <w:rFonts w:ascii="Arial" w:hAnsi="Arial" w:cs="Arial"/>
          <w:b/>
          <w:sz w:val="24"/>
          <w:szCs w:val="24"/>
        </w:rPr>
      </w:pPr>
    </w:p>
    <w:p w14:paraId="68E85906" w14:textId="34AC29ED" w:rsidR="00344A4D" w:rsidRDefault="00344A4D" w:rsidP="00C92810">
      <w:pPr>
        <w:spacing w:line="276" w:lineRule="auto"/>
        <w:rPr>
          <w:rFonts w:ascii="Arial" w:hAnsi="Arial" w:cs="Arial"/>
          <w:b/>
          <w:sz w:val="24"/>
          <w:szCs w:val="24"/>
        </w:rPr>
      </w:pPr>
    </w:p>
    <w:p w14:paraId="4BD12E68" w14:textId="32EE264C" w:rsidR="00344A4D" w:rsidRDefault="00344A4D" w:rsidP="00C92810">
      <w:pPr>
        <w:spacing w:line="276" w:lineRule="auto"/>
        <w:rPr>
          <w:rFonts w:ascii="Arial" w:hAnsi="Arial" w:cs="Arial"/>
          <w:b/>
          <w:sz w:val="24"/>
          <w:szCs w:val="24"/>
        </w:rPr>
      </w:pPr>
    </w:p>
    <w:p w14:paraId="753FF544" w14:textId="31B132BB" w:rsidR="00344A4D" w:rsidRDefault="00344A4D" w:rsidP="00C92810">
      <w:pPr>
        <w:spacing w:line="276" w:lineRule="auto"/>
        <w:rPr>
          <w:rFonts w:ascii="Arial" w:hAnsi="Arial" w:cs="Arial"/>
          <w:b/>
          <w:sz w:val="24"/>
          <w:szCs w:val="24"/>
        </w:rPr>
      </w:pPr>
    </w:p>
    <w:p w14:paraId="75F401AD" w14:textId="2CF15092" w:rsidR="00344A4D" w:rsidRDefault="00344A4D" w:rsidP="00C92810">
      <w:pPr>
        <w:spacing w:line="276" w:lineRule="auto"/>
        <w:rPr>
          <w:rFonts w:ascii="Arial" w:hAnsi="Arial" w:cs="Arial"/>
          <w:b/>
          <w:sz w:val="24"/>
          <w:szCs w:val="24"/>
        </w:rPr>
      </w:pPr>
    </w:p>
    <w:p w14:paraId="40ACBB4B" w14:textId="3D9A064F" w:rsidR="00344A4D" w:rsidRDefault="00344A4D" w:rsidP="00C92810">
      <w:pPr>
        <w:spacing w:line="276" w:lineRule="auto"/>
        <w:rPr>
          <w:rFonts w:ascii="Arial" w:hAnsi="Arial" w:cs="Arial"/>
          <w:b/>
          <w:sz w:val="24"/>
          <w:szCs w:val="24"/>
        </w:rPr>
      </w:pPr>
    </w:p>
    <w:p w14:paraId="58F0EB46" w14:textId="2D7ECFD2" w:rsidR="00344A4D" w:rsidRDefault="00344A4D" w:rsidP="00C92810">
      <w:pPr>
        <w:spacing w:line="276" w:lineRule="auto"/>
        <w:rPr>
          <w:rFonts w:ascii="Arial" w:hAnsi="Arial" w:cs="Arial"/>
          <w:b/>
          <w:sz w:val="24"/>
          <w:szCs w:val="24"/>
        </w:rPr>
      </w:pPr>
    </w:p>
    <w:p w14:paraId="74F77AA3" w14:textId="5528A6C4" w:rsidR="00344A4D" w:rsidRDefault="00344A4D" w:rsidP="00C92810">
      <w:pPr>
        <w:spacing w:line="276" w:lineRule="auto"/>
        <w:rPr>
          <w:rFonts w:ascii="Arial" w:hAnsi="Arial" w:cs="Arial"/>
          <w:b/>
          <w:sz w:val="24"/>
          <w:szCs w:val="24"/>
        </w:rPr>
      </w:pPr>
    </w:p>
    <w:p w14:paraId="1392883E" w14:textId="77818098" w:rsidR="00344A4D" w:rsidRDefault="00344A4D" w:rsidP="00C92810">
      <w:pPr>
        <w:spacing w:line="276" w:lineRule="auto"/>
        <w:rPr>
          <w:rFonts w:ascii="Arial" w:hAnsi="Arial" w:cs="Arial"/>
          <w:b/>
          <w:sz w:val="24"/>
          <w:szCs w:val="24"/>
        </w:rPr>
      </w:pPr>
    </w:p>
    <w:p w14:paraId="3E2F51C3" w14:textId="38607A23" w:rsidR="00344A4D" w:rsidRDefault="00344A4D" w:rsidP="00C92810">
      <w:pPr>
        <w:spacing w:line="276" w:lineRule="auto"/>
        <w:rPr>
          <w:rFonts w:ascii="Arial" w:hAnsi="Arial" w:cs="Arial"/>
          <w:b/>
          <w:sz w:val="24"/>
          <w:szCs w:val="24"/>
        </w:rPr>
      </w:pPr>
    </w:p>
    <w:p w14:paraId="683A5173" w14:textId="2053A696" w:rsidR="00344A4D" w:rsidRDefault="00344A4D" w:rsidP="00C92810">
      <w:pPr>
        <w:spacing w:line="276" w:lineRule="auto"/>
        <w:rPr>
          <w:rFonts w:ascii="Arial" w:hAnsi="Arial" w:cs="Arial"/>
          <w:b/>
          <w:sz w:val="24"/>
          <w:szCs w:val="24"/>
        </w:rPr>
      </w:pPr>
    </w:p>
    <w:p w14:paraId="442A7AFE" w14:textId="2CBD4C73" w:rsidR="00344A4D" w:rsidRDefault="00344A4D" w:rsidP="00C92810">
      <w:pPr>
        <w:spacing w:line="276" w:lineRule="auto"/>
        <w:rPr>
          <w:rFonts w:ascii="Arial" w:hAnsi="Arial" w:cs="Arial"/>
          <w:b/>
          <w:sz w:val="24"/>
          <w:szCs w:val="24"/>
        </w:rPr>
      </w:pPr>
    </w:p>
    <w:p w14:paraId="752A9A03" w14:textId="7E6354CE" w:rsidR="00344A4D" w:rsidRDefault="00344A4D" w:rsidP="00C92810">
      <w:pPr>
        <w:spacing w:line="276" w:lineRule="auto"/>
        <w:rPr>
          <w:rFonts w:ascii="Arial" w:hAnsi="Arial" w:cs="Arial"/>
          <w:b/>
          <w:sz w:val="24"/>
          <w:szCs w:val="24"/>
        </w:rPr>
      </w:pPr>
    </w:p>
    <w:p w14:paraId="43B95C72" w14:textId="391C53C3" w:rsidR="00344A4D" w:rsidRDefault="00344A4D" w:rsidP="00C92810">
      <w:pPr>
        <w:spacing w:line="276" w:lineRule="auto"/>
        <w:rPr>
          <w:rFonts w:ascii="Arial" w:hAnsi="Arial" w:cs="Arial"/>
          <w:b/>
          <w:sz w:val="24"/>
          <w:szCs w:val="24"/>
        </w:rPr>
      </w:pPr>
    </w:p>
    <w:p w14:paraId="0EC62B39" w14:textId="6374D2D7" w:rsidR="00344A4D" w:rsidRDefault="00344A4D" w:rsidP="00C92810">
      <w:pPr>
        <w:spacing w:line="276" w:lineRule="auto"/>
        <w:rPr>
          <w:rFonts w:ascii="Arial" w:hAnsi="Arial" w:cs="Arial"/>
          <w:b/>
          <w:sz w:val="24"/>
          <w:szCs w:val="24"/>
        </w:rPr>
      </w:pPr>
    </w:p>
    <w:p w14:paraId="13C97799" w14:textId="32FDD4DE" w:rsidR="00344A4D" w:rsidRDefault="00344A4D" w:rsidP="00C92810">
      <w:pPr>
        <w:spacing w:line="276" w:lineRule="auto"/>
        <w:rPr>
          <w:rFonts w:ascii="Arial" w:hAnsi="Arial" w:cs="Arial"/>
          <w:b/>
          <w:sz w:val="24"/>
          <w:szCs w:val="24"/>
        </w:rPr>
      </w:pPr>
    </w:p>
    <w:p w14:paraId="4EDC0989" w14:textId="77777777" w:rsidR="00344A4D" w:rsidRPr="009C70B2" w:rsidRDefault="00344A4D" w:rsidP="00C92810">
      <w:pPr>
        <w:spacing w:line="276" w:lineRule="auto"/>
        <w:rPr>
          <w:rFonts w:ascii="Arial" w:hAnsi="Arial" w:cs="Arial"/>
          <w:b/>
          <w:sz w:val="24"/>
          <w:szCs w:val="24"/>
        </w:rPr>
      </w:pPr>
    </w:p>
    <w:p w14:paraId="528625B5" w14:textId="77777777" w:rsidR="00C92810" w:rsidRDefault="00C92810" w:rsidP="00C92810">
      <w:pPr>
        <w:pStyle w:val="Tekstpodstawowywcity"/>
        <w:spacing w:line="276" w:lineRule="auto"/>
        <w:ind w:left="0"/>
        <w:rPr>
          <w:rFonts w:ascii="Calibri" w:hAnsi="Calibri" w:cs="Arial"/>
          <w:szCs w:val="24"/>
        </w:rPr>
      </w:pPr>
    </w:p>
    <w:p w14:paraId="5DA31868" w14:textId="35DC576C" w:rsidR="00C92810" w:rsidRDefault="00C92810" w:rsidP="00C92810">
      <w:pPr>
        <w:pStyle w:val="Tekstpodstawowywcity"/>
        <w:spacing w:line="276" w:lineRule="auto"/>
        <w:ind w:left="0"/>
        <w:rPr>
          <w:rFonts w:ascii="Calibri" w:hAnsi="Calibri" w:cs="Arial"/>
          <w:szCs w:val="24"/>
        </w:rPr>
      </w:pPr>
    </w:p>
    <w:p w14:paraId="61129529" w14:textId="5B0FEF9F" w:rsidR="007F5970" w:rsidRDefault="007F5970" w:rsidP="00C92810">
      <w:pPr>
        <w:pStyle w:val="Tekstpodstawowywcity"/>
        <w:spacing w:line="276" w:lineRule="auto"/>
        <w:ind w:left="0"/>
        <w:rPr>
          <w:rFonts w:ascii="Calibri" w:hAnsi="Calibri" w:cs="Arial"/>
          <w:szCs w:val="24"/>
        </w:rPr>
      </w:pPr>
    </w:p>
    <w:p w14:paraId="0D687CC8" w14:textId="4C6A146B" w:rsidR="007F5970" w:rsidRDefault="007F5970" w:rsidP="00C92810">
      <w:pPr>
        <w:pStyle w:val="Tekstpodstawowywcity"/>
        <w:spacing w:line="276" w:lineRule="auto"/>
        <w:ind w:left="0"/>
        <w:rPr>
          <w:rFonts w:ascii="Calibri" w:hAnsi="Calibri" w:cs="Arial"/>
          <w:szCs w:val="24"/>
        </w:rPr>
      </w:pPr>
    </w:p>
    <w:p w14:paraId="1C9E1A5A" w14:textId="2B69C50C" w:rsidR="007F5970" w:rsidRDefault="007F5970" w:rsidP="00C92810">
      <w:pPr>
        <w:pStyle w:val="Tekstpodstawowywcity"/>
        <w:spacing w:line="276" w:lineRule="auto"/>
        <w:ind w:left="0"/>
        <w:rPr>
          <w:rFonts w:ascii="Calibri" w:hAnsi="Calibri" w:cs="Arial"/>
          <w:szCs w:val="24"/>
        </w:rPr>
      </w:pPr>
    </w:p>
    <w:p w14:paraId="13B9225F" w14:textId="3A150F3A" w:rsidR="007F5970" w:rsidRDefault="007F5970" w:rsidP="00C92810">
      <w:pPr>
        <w:pStyle w:val="Tekstpodstawowywcity"/>
        <w:spacing w:line="276" w:lineRule="auto"/>
        <w:ind w:left="0"/>
        <w:rPr>
          <w:rFonts w:ascii="Calibri" w:hAnsi="Calibri" w:cs="Arial"/>
          <w:szCs w:val="24"/>
        </w:rPr>
      </w:pPr>
    </w:p>
    <w:p w14:paraId="54F603E7" w14:textId="683D4972" w:rsidR="007F5970" w:rsidRDefault="007F5970" w:rsidP="00C92810">
      <w:pPr>
        <w:pStyle w:val="Tekstpodstawowywcity"/>
        <w:spacing w:line="276" w:lineRule="auto"/>
        <w:ind w:left="0"/>
        <w:rPr>
          <w:rFonts w:ascii="Calibri" w:hAnsi="Calibri" w:cs="Arial"/>
          <w:szCs w:val="24"/>
        </w:rPr>
      </w:pPr>
    </w:p>
    <w:p w14:paraId="12378650" w14:textId="7C7FC9E2" w:rsidR="007F5970" w:rsidRDefault="007F5970" w:rsidP="00C92810">
      <w:pPr>
        <w:pStyle w:val="Tekstpodstawowywcity"/>
        <w:spacing w:line="276" w:lineRule="auto"/>
        <w:ind w:left="0"/>
        <w:rPr>
          <w:rFonts w:ascii="Calibri" w:hAnsi="Calibri" w:cs="Arial"/>
          <w:szCs w:val="24"/>
        </w:rPr>
      </w:pPr>
    </w:p>
    <w:p w14:paraId="4D70DE6F" w14:textId="77777777" w:rsidR="007F5970" w:rsidRDefault="007F5970" w:rsidP="00C92810">
      <w:pPr>
        <w:pStyle w:val="Tekstpodstawowywcity"/>
        <w:spacing w:line="276" w:lineRule="auto"/>
        <w:ind w:left="0"/>
        <w:rPr>
          <w:rFonts w:ascii="Calibri" w:hAnsi="Calibri" w:cs="Arial"/>
          <w:szCs w:val="24"/>
        </w:rPr>
      </w:pPr>
    </w:p>
    <w:bookmarkEnd w:id="1"/>
    <w:p w14:paraId="48BD7547" w14:textId="77777777" w:rsidR="00C92810" w:rsidRPr="009C70B2" w:rsidRDefault="00C92810" w:rsidP="00C92810">
      <w:pPr>
        <w:pStyle w:val="Tekstpodstawowywcity"/>
        <w:spacing w:line="276" w:lineRule="auto"/>
        <w:ind w:left="0"/>
        <w:rPr>
          <w:rFonts w:ascii="Calibri" w:hAnsi="Calibri" w:cs="Arial"/>
          <w:szCs w:val="24"/>
        </w:rPr>
      </w:pPr>
    </w:p>
    <w:p w14:paraId="7E0E8C4A" w14:textId="77777777" w:rsidR="00D01D44" w:rsidRPr="009C70B2" w:rsidRDefault="00D01D44" w:rsidP="00D01D44">
      <w:pPr>
        <w:spacing w:line="276" w:lineRule="auto"/>
        <w:rPr>
          <w:rFonts w:ascii="Arial" w:hAnsi="Arial" w:cs="Arial"/>
          <w:b/>
          <w:sz w:val="24"/>
          <w:szCs w:val="24"/>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4" w:name="_Toc514663111"/>
            <w:r w:rsidRPr="00E928D9">
              <w:rPr>
                <w:rFonts w:cs="Arial"/>
                <w:b w:val="0"/>
                <w:sz w:val="18"/>
                <w:szCs w:val="18"/>
              </w:rPr>
              <w:t>9</w:t>
            </w:r>
            <w:bookmarkEnd w:id="4"/>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działań prowadzących do powstawania/ podnoszenia jakości zdeinstytucjonalizowanych</w:t>
            </w:r>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Realizacja kryterium przyczyni się do wzmocnienia procesu deinstytucjonalizacji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pozytywne efekty realizowanego projektu. 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9.3.B. Wsparcie deinstytucjonalizacji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jest realizowany w partnerstwie z co najmniej jedną organizacją pozarządową repezentującą interesy pacjentów i posiadającą co najmniej 2-letnie doświadczenie w zakresie deinstytucjonalizacji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z katalogiem stawek, określonym dla danego konkursu (nie dotyczy naborów, dla których nie 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721E435" w14:textId="77777777" w:rsidR="001A663C" w:rsidRPr="00E928D9" w:rsidRDefault="001A663C" w:rsidP="00FD23D6">
      <w:pPr>
        <w:spacing w:line="276" w:lineRule="auto"/>
        <w:rPr>
          <w:rFonts w:ascii="Arial" w:hAnsi="Arial" w:cs="Arial"/>
          <w:b/>
          <w:sz w:val="24"/>
          <w:szCs w:val="24"/>
        </w:rPr>
      </w:pPr>
    </w:p>
    <w:p w14:paraId="05C77111" w14:textId="77777777" w:rsidR="00FD23D6" w:rsidRPr="00E928D9" w:rsidRDefault="00FD23D6" w:rsidP="00FD23D6">
      <w:pPr>
        <w:spacing w:line="276" w:lineRule="auto"/>
        <w:rPr>
          <w:rFonts w:ascii="Arial" w:hAnsi="Arial" w:cs="Arial"/>
          <w:b/>
          <w:sz w:val="24"/>
          <w:szCs w:val="24"/>
        </w:rPr>
      </w:pPr>
    </w:p>
    <w:p w14:paraId="48346790" w14:textId="77777777" w:rsidR="00FD23D6" w:rsidRPr="00E928D9" w:rsidRDefault="00FD23D6" w:rsidP="00FD23D6">
      <w:pPr>
        <w:spacing w:line="276" w:lineRule="auto"/>
        <w:rPr>
          <w:rFonts w:ascii="Arial" w:hAnsi="Arial" w:cs="Arial"/>
          <w:b/>
          <w:sz w:val="24"/>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5A2E3C85" w:rsidR="00344A4D" w:rsidRDefault="00344A4D" w:rsidP="00FD23D6">
      <w:pPr>
        <w:spacing w:line="276" w:lineRule="auto"/>
        <w:rPr>
          <w:rFonts w:ascii="Arial" w:hAnsi="Arial" w:cs="Arial"/>
          <w:b/>
          <w:sz w:val="24"/>
          <w:szCs w:val="24"/>
        </w:rPr>
      </w:pPr>
    </w:p>
    <w:p w14:paraId="3AD49BE0" w14:textId="096CB25A" w:rsidR="00344A4D" w:rsidRDefault="00344A4D" w:rsidP="00FD23D6">
      <w:pPr>
        <w:spacing w:line="276" w:lineRule="auto"/>
        <w:rPr>
          <w:rFonts w:ascii="Arial" w:hAnsi="Arial" w:cs="Arial"/>
          <w:b/>
          <w:sz w:val="24"/>
          <w:szCs w:val="24"/>
        </w:rPr>
      </w:pPr>
    </w:p>
    <w:p w14:paraId="2A02CF3C" w14:textId="48D4EE8A" w:rsidR="00344A4D" w:rsidRDefault="00344A4D" w:rsidP="00FD23D6">
      <w:pPr>
        <w:spacing w:line="276" w:lineRule="auto"/>
        <w:rPr>
          <w:rFonts w:ascii="Arial" w:hAnsi="Arial" w:cs="Arial"/>
          <w:b/>
          <w:sz w:val="24"/>
          <w:szCs w:val="24"/>
        </w:rPr>
      </w:pPr>
    </w:p>
    <w:p w14:paraId="2BCFF163" w14:textId="636C20DB" w:rsidR="00344A4D" w:rsidRDefault="00344A4D" w:rsidP="00FD23D6">
      <w:pPr>
        <w:spacing w:line="276" w:lineRule="auto"/>
        <w:rPr>
          <w:rFonts w:ascii="Arial" w:hAnsi="Arial" w:cs="Arial"/>
          <w:b/>
          <w:sz w:val="24"/>
          <w:szCs w:val="24"/>
        </w:rPr>
      </w:pPr>
    </w:p>
    <w:p w14:paraId="46354CBF" w14:textId="05CE1767" w:rsidR="00344A4D" w:rsidRDefault="00344A4D" w:rsidP="00FD23D6">
      <w:pPr>
        <w:spacing w:line="276" w:lineRule="auto"/>
        <w:rPr>
          <w:rFonts w:ascii="Arial" w:hAnsi="Arial" w:cs="Arial"/>
          <w:b/>
          <w:sz w:val="24"/>
          <w:szCs w:val="24"/>
        </w:rPr>
      </w:pPr>
    </w:p>
    <w:p w14:paraId="4E647FFE" w14:textId="008F083F" w:rsidR="00344A4D" w:rsidRDefault="00344A4D" w:rsidP="00FD23D6">
      <w:pPr>
        <w:spacing w:line="276" w:lineRule="auto"/>
        <w:rPr>
          <w:rFonts w:ascii="Arial" w:hAnsi="Arial" w:cs="Arial"/>
          <w:b/>
          <w:sz w:val="24"/>
          <w:szCs w:val="24"/>
        </w:rPr>
      </w:pPr>
    </w:p>
    <w:p w14:paraId="0A3C0B9E" w14:textId="3C965EC1" w:rsidR="00344A4D" w:rsidRDefault="00344A4D" w:rsidP="00FD23D6">
      <w:pPr>
        <w:spacing w:line="276" w:lineRule="auto"/>
        <w:rPr>
          <w:rFonts w:ascii="Arial" w:hAnsi="Arial" w:cs="Arial"/>
          <w:b/>
          <w:sz w:val="24"/>
          <w:szCs w:val="24"/>
        </w:rPr>
      </w:pPr>
    </w:p>
    <w:p w14:paraId="6FBDD37C" w14:textId="60673B93" w:rsidR="00344A4D" w:rsidRDefault="00344A4D" w:rsidP="00FD23D6">
      <w:pPr>
        <w:spacing w:line="276" w:lineRule="auto"/>
        <w:rPr>
          <w:rFonts w:ascii="Arial" w:hAnsi="Arial" w:cs="Arial"/>
          <w:b/>
          <w:sz w:val="24"/>
          <w:szCs w:val="24"/>
        </w:rPr>
      </w:pPr>
    </w:p>
    <w:p w14:paraId="7365563C" w14:textId="11AA21DA" w:rsidR="00344A4D" w:rsidRDefault="00344A4D" w:rsidP="00FD23D6">
      <w:pPr>
        <w:spacing w:line="276" w:lineRule="auto"/>
        <w:rPr>
          <w:rFonts w:ascii="Arial" w:hAnsi="Arial" w:cs="Arial"/>
          <w:b/>
          <w:sz w:val="24"/>
          <w:szCs w:val="24"/>
        </w:rPr>
      </w:pPr>
    </w:p>
    <w:p w14:paraId="46E16AF5" w14:textId="50D10CC6" w:rsidR="00344A4D" w:rsidRDefault="00344A4D" w:rsidP="00FD23D6">
      <w:pPr>
        <w:spacing w:line="276" w:lineRule="auto"/>
        <w:rPr>
          <w:rFonts w:ascii="Arial" w:hAnsi="Arial" w:cs="Arial"/>
          <w:b/>
          <w:sz w:val="24"/>
          <w:szCs w:val="24"/>
        </w:rPr>
      </w:pPr>
    </w:p>
    <w:p w14:paraId="7EE3E49D" w14:textId="07C64F54" w:rsidR="00344A4D" w:rsidRDefault="00344A4D" w:rsidP="00FD23D6">
      <w:pPr>
        <w:spacing w:line="276" w:lineRule="auto"/>
        <w:rPr>
          <w:rFonts w:ascii="Arial" w:hAnsi="Arial" w:cs="Arial"/>
          <w:b/>
          <w:sz w:val="24"/>
          <w:szCs w:val="24"/>
        </w:rPr>
      </w:pPr>
    </w:p>
    <w:p w14:paraId="5DDDF965" w14:textId="27B57428" w:rsidR="00344A4D" w:rsidRDefault="00344A4D" w:rsidP="00FD23D6">
      <w:pPr>
        <w:spacing w:line="276" w:lineRule="auto"/>
        <w:rPr>
          <w:rFonts w:ascii="Arial" w:hAnsi="Arial" w:cs="Arial"/>
          <w:b/>
          <w:sz w:val="24"/>
          <w:szCs w:val="24"/>
        </w:rPr>
      </w:pPr>
    </w:p>
    <w:p w14:paraId="7735DB8C" w14:textId="683492D3" w:rsidR="00344A4D" w:rsidRDefault="00344A4D" w:rsidP="00FD23D6">
      <w:pPr>
        <w:spacing w:line="276" w:lineRule="auto"/>
        <w:rPr>
          <w:rFonts w:ascii="Arial" w:hAnsi="Arial" w:cs="Arial"/>
          <w:b/>
          <w:sz w:val="24"/>
          <w:szCs w:val="24"/>
        </w:rPr>
      </w:pPr>
    </w:p>
    <w:p w14:paraId="43F1AA5A" w14:textId="292128A5" w:rsidR="00344A4D" w:rsidRDefault="00344A4D" w:rsidP="00FD23D6">
      <w:pPr>
        <w:spacing w:line="276" w:lineRule="auto"/>
        <w:rPr>
          <w:rFonts w:ascii="Arial" w:hAnsi="Arial" w:cs="Arial"/>
          <w:b/>
          <w:sz w:val="24"/>
          <w:szCs w:val="24"/>
        </w:rPr>
      </w:pPr>
    </w:p>
    <w:p w14:paraId="782115A2" w14:textId="2847E3EF" w:rsidR="00344A4D" w:rsidRDefault="00344A4D" w:rsidP="00FD23D6">
      <w:pPr>
        <w:spacing w:line="276" w:lineRule="auto"/>
        <w:rPr>
          <w:rFonts w:ascii="Arial" w:hAnsi="Arial" w:cs="Arial"/>
          <w:b/>
          <w:sz w:val="24"/>
          <w:szCs w:val="24"/>
        </w:rPr>
      </w:pPr>
    </w:p>
    <w:p w14:paraId="690019DE" w14:textId="43ED55E1" w:rsidR="00344A4D" w:rsidRDefault="00344A4D" w:rsidP="00FD23D6">
      <w:pPr>
        <w:spacing w:line="276" w:lineRule="auto"/>
        <w:rPr>
          <w:rFonts w:ascii="Arial" w:hAnsi="Arial" w:cs="Arial"/>
          <w:b/>
          <w:sz w:val="24"/>
          <w:szCs w:val="24"/>
        </w:rPr>
      </w:pPr>
    </w:p>
    <w:p w14:paraId="030478BA" w14:textId="5D981ED5" w:rsidR="00344A4D" w:rsidRDefault="00344A4D" w:rsidP="00FD23D6">
      <w:pPr>
        <w:spacing w:line="276" w:lineRule="auto"/>
        <w:rPr>
          <w:rFonts w:ascii="Arial" w:hAnsi="Arial" w:cs="Arial"/>
          <w:b/>
          <w:sz w:val="24"/>
          <w:szCs w:val="24"/>
        </w:rPr>
      </w:pPr>
    </w:p>
    <w:p w14:paraId="2FE3B21D" w14:textId="4D34E01F" w:rsidR="00344A4D" w:rsidRDefault="00344A4D" w:rsidP="00FD23D6">
      <w:pPr>
        <w:spacing w:line="276" w:lineRule="auto"/>
        <w:rPr>
          <w:rFonts w:ascii="Arial" w:hAnsi="Arial" w:cs="Arial"/>
          <w:b/>
          <w:sz w:val="24"/>
          <w:szCs w:val="24"/>
        </w:rPr>
      </w:pPr>
    </w:p>
    <w:p w14:paraId="0086DA16" w14:textId="506922C8" w:rsidR="00344A4D" w:rsidRDefault="00344A4D" w:rsidP="00FD23D6">
      <w:pPr>
        <w:spacing w:line="276" w:lineRule="auto"/>
        <w:rPr>
          <w:rFonts w:ascii="Arial" w:hAnsi="Arial" w:cs="Arial"/>
          <w:b/>
          <w:sz w:val="24"/>
          <w:szCs w:val="24"/>
        </w:rPr>
      </w:pPr>
    </w:p>
    <w:p w14:paraId="6C68339D" w14:textId="7490F4FC" w:rsidR="00344A4D" w:rsidRDefault="00344A4D" w:rsidP="00FD23D6">
      <w:pPr>
        <w:spacing w:line="276" w:lineRule="auto"/>
        <w:rPr>
          <w:rFonts w:ascii="Arial" w:hAnsi="Arial" w:cs="Arial"/>
          <w:b/>
          <w:sz w:val="24"/>
          <w:szCs w:val="24"/>
        </w:rPr>
      </w:pPr>
    </w:p>
    <w:p w14:paraId="78135790" w14:textId="3455331D" w:rsidR="00344A4D" w:rsidRDefault="00344A4D" w:rsidP="00FD23D6">
      <w:pPr>
        <w:spacing w:line="276" w:lineRule="auto"/>
        <w:rPr>
          <w:rFonts w:ascii="Arial" w:hAnsi="Arial" w:cs="Arial"/>
          <w:b/>
          <w:sz w:val="24"/>
          <w:szCs w:val="24"/>
        </w:rPr>
      </w:pPr>
    </w:p>
    <w:p w14:paraId="4396B388" w14:textId="31D16AA9" w:rsidR="007F5970" w:rsidRDefault="007F5970" w:rsidP="00FD23D6">
      <w:pPr>
        <w:spacing w:line="276" w:lineRule="auto"/>
        <w:rPr>
          <w:rFonts w:ascii="Arial" w:hAnsi="Arial" w:cs="Arial"/>
          <w:b/>
          <w:sz w:val="24"/>
          <w:szCs w:val="24"/>
        </w:rPr>
      </w:pPr>
    </w:p>
    <w:p w14:paraId="49F5A74A" w14:textId="701FB02D" w:rsidR="007F5970" w:rsidRDefault="007F5970" w:rsidP="00FD23D6">
      <w:pPr>
        <w:spacing w:line="276" w:lineRule="auto"/>
        <w:rPr>
          <w:rFonts w:ascii="Arial" w:hAnsi="Arial" w:cs="Arial"/>
          <w:b/>
          <w:sz w:val="24"/>
          <w:szCs w:val="24"/>
        </w:rPr>
      </w:pPr>
    </w:p>
    <w:p w14:paraId="0AB69694" w14:textId="19BB525B" w:rsidR="007F5970" w:rsidRDefault="007F5970" w:rsidP="00FD23D6">
      <w:pPr>
        <w:spacing w:line="276" w:lineRule="auto"/>
        <w:rPr>
          <w:rFonts w:ascii="Arial" w:hAnsi="Arial" w:cs="Arial"/>
          <w:b/>
          <w:sz w:val="24"/>
          <w:szCs w:val="24"/>
        </w:rPr>
      </w:pPr>
    </w:p>
    <w:p w14:paraId="42533571" w14:textId="0D35F55D" w:rsidR="007F5970" w:rsidRDefault="007F5970" w:rsidP="00FD23D6">
      <w:pPr>
        <w:spacing w:line="276" w:lineRule="auto"/>
        <w:rPr>
          <w:rFonts w:ascii="Arial" w:hAnsi="Arial" w:cs="Arial"/>
          <w:b/>
          <w:sz w:val="24"/>
          <w:szCs w:val="24"/>
        </w:rPr>
      </w:pPr>
    </w:p>
    <w:p w14:paraId="6A12A4EF" w14:textId="684E4ED8" w:rsidR="007F5970" w:rsidRDefault="007F5970" w:rsidP="00FD23D6">
      <w:pPr>
        <w:spacing w:line="276" w:lineRule="auto"/>
        <w:rPr>
          <w:rFonts w:ascii="Arial" w:hAnsi="Arial" w:cs="Arial"/>
          <w:b/>
          <w:sz w:val="24"/>
          <w:szCs w:val="24"/>
        </w:rPr>
      </w:pPr>
    </w:p>
    <w:p w14:paraId="1F33B57F" w14:textId="1DC69ABC" w:rsidR="007F5970" w:rsidRDefault="007F5970" w:rsidP="00FD23D6">
      <w:pPr>
        <w:spacing w:line="276" w:lineRule="auto"/>
        <w:rPr>
          <w:rFonts w:ascii="Arial" w:hAnsi="Arial" w:cs="Arial"/>
          <w:b/>
          <w:sz w:val="24"/>
          <w:szCs w:val="24"/>
        </w:rPr>
      </w:pPr>
    </w:p>
    <w:p w14:paraId="672AF0B7" w14:textId="75619530" w:rsidR="007F5970" w:rsidRDefault="007F5970" w:rsidP="00FD23D6">
      <w:pPr>
        <w:spacing w:line="276" w:lineRule="auto"/>
        <w:rPr>
          <w:rFonts w:ascii="Arial" w:hAnsi="Arial" w:cs="Arial"/>
          <w:b/>
          <w:sz w:val="24"/>
          <w:szCs w:val="24"/>
        </w:rPr>
      </w:pPr>
    </w:p>
    <w:p w14:paraId="3BA5442E" w14:textId="4E35685C" w:rsidR="007F5970" w:rsidRDefault="007F5970" w:rsidP="00FD23D6">
      <w:pPr>
        <w:spacing w:line="276" w:lineRule="auto"/>
        <w:rPr>
          <w:rFonts w:ascii="Arial" w:hAnsi="Arial" w:cs="Arial"/>
          <w:b/>
          <w:sz w:val="24"/>
          <w:szCs w:val="24"/>
        </w:rPr>
      </w:pPr>
    </w:p>
    <w:p w14:paraId="71F16E7B" w14:textId="56285573" w:rsidR="007F5970" w:rsidRDefault="007F5970" w:rsidP="00FD23D6">
      <w:pPr>
        <w:spacing w:line="276" w:lineRule="auto"/>
        <w:rPr>
          <w:rFonts w:ascii="Arial" w:hAnsi="Arial" w:cs="Arial"/>
          <w:b/>
          <w:sz w:val="24"/>
          <w:szCs w:val="24"/>
        </w:rPr>
      </w:pPr>
    </w:p>
    <w:p w14:paraId="646304DA" w14:textId="45BE0480" w:rsidR="007F5970" w:rsidRDefault="007F5970" w:rsidP="00FD23D6">
      <w:pPr>
        <w:spacing w:line="276" w:lineRule="auto"/>
        <w:rPr>
          <w:rFonts w:ascii="Arial" w:hAnsi="Arial" w:cs="Arial"/>
          <w:b/>
          <w:sz w:val="24"/>
          <w:szCs w:val="24"/>
        </w:rPr>
      </w:pPr>
    </w:p>
    <w:p w14:paraId="25BF6C28" w14:textId="3BA50336" w:rsidR="007F5970" w:rsidRDefault="007F5970" w:rsidP="00FD23D6">
      <w:pPr>
        <w:spacing w:line="276" w:lineRule="auto"/>
        <w:rPr>
          <w:rFonts w:ascii="Arial" w:hAnsi="Arial" w:cs="Arial"/>
          <w:b/>
          <w:sz w:val="24"/>
          <w:szCs w:val="24"/>
        </w:rPr>
      </w:pPr>
    </w:p>
    <w:p w14:paraId="44790FCD" w14:textId="77777777" w:rsidR="007F5970" w:rsidRDefault="007F5970" w:rsidP="00FD23D6">
      <w:pPr>
        <w:spacing w:line="276" w:lineRule="auto"/>
        <w:rPr>
          <w:rFonts w:ascii="Arial" w:hAnsi="Arial" w:cs="Arial"/>
          <w:b/>
          <w:sz w:val="24"/>
          <w:szCs w:val="24"/>
        </w:rPr>
      </w:pPr>
    </w:p>
    <w:p w14:paraId="5479CD3B" w14:textId="5FC329D3" w:rsidR="00344A4D" w:rsidRDefault="00344A4D" w:rsidP="00FD23D6">
      <w:pPr>
        <w:spacing w:line="276" w:lineRule="auto"/>
        <w:rPr>
          <w:rFonts w:ascii="Arial" w:hAnsi="Arial" w:cs="Arial"/>
          <w:b/>
          <w:sz w:val="24"/>
          <w:szCs w:val="24"/>
        </w:rPr>
      </w:pPr>
    </w:p>
    <w:p w14:paraId="5D286043" w14:textId="7101D7A8" w:rsidR="00344A4D" w:rsidRDefault="00344A4D" w:rsidP="00FD23D6">
      <w:pPr>
        <w:spacing w:line="276" w:lineRule="auto"/>
        <w:rPr>
          <w:rFonts w:ascii="Arial" w:hAnsi="Arial" w:cs="Arial"/>
          <w:b/>
          <w:sz w:val="24"/>
          <w:szCs w:val="24"/>
        </w:rPr>
      </w:pPr>
    </w:p>
    <w:p w14:paraId="6EBB48C1" w14:textId="77777777" w:rsidR="00344A4D" w:rsidRPr="00E928D9" w:rsidRDefault="00344A4D"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r w:rsidRPr="007F6F1E">
              <w:rPr>
                <w:rFonts w:cs="Arial"/>
                <w:b w:val="0"/>
                <w:sz w:val="18"/>
                <w:szCs w:val="18"/>
              </w:rPr>
              <w:t>10</w:t>
            </w:r>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SzOOP-u.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10.1.2 ZIT WrOF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4A938204" w14:textId="77777777" w:rsidR="007F5970" w:rsidRDefault="007F5970" w:rsidP="007F597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r w:rsidRPr="004C7BCB">
        <w:rPr>
          <w:rFonts w:cs="Arial"/>
          <w:sz w:val="18"/>
          <w:szCs w:val="18"/>
        </w:rPr>
        <w:t>Kryteria oceny zgodności projektów ze Strategią ZIT WrOF</w:t>
      </w:r>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 ramach kryterium będzie weryfikowane, czy wnioskowany projekt będzie realizowany w budynku wybudowanym/modernizowanym/remontowanym ze środków RPO WD 2014-2020 w ramach mechanizmu ZIT WrOF</w:t>
            </w:r>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WrOF: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WrOF: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[szt]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8-15 szt</w:t>
            </w:r>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r w:rsidRPr="004C7BCB">
        <w:rPr>
          <w:rFonts w:cs="Arial"/>
          <w:sz w:val="18"/>
          <w:szCs w:val="18"/>
        </w:rPr>
        <w:t>Kryteria oceny zgodności projektów ze Strategią ZIT AJ</w:t>
      </w:r>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r w:rsidRPr="004C7BCB">
        <w:rPr>
          <w:rFonts w:cs="Arial"/>
          <w:sz w:val="18"/>
          <w:szCs w:val="18"/>
        </w:rPr>
        <w:t>Kryteria oceny zgodności projektów ze Strategią ZIT AW</w:t>
      </w:r>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10.2.2 ZIT WrOF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nd</w:t>
            </w:r>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szkół branżowych I i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5"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CKZiU</w:t>
            </w:r>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6" w:name="_Hlk519493960"/>
            <w:bookmarkEnd w:id="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6"/>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7F5970" w:rsidRDefault="007F5970">
      <w:r>
        <w:separator/>
      </w:r>
    </w:p>
  </w:endnote>
  <w:endnote w:type="continuationSeparator" w:id="0">
    <w:p w14:paraId="6C060E52" w14:textId="77777777" w:rsidR="007F5970" w:rsidRDefault="007F5970">
      <w:r>
        <w:continuationSeparator/>
      </w:r>
    </w:p>
  </w:endnote>
  <w:endnote w:type="continuationNotice" w:id="1">
    <w:p w14:paraId="6ED0EAB5" w14:textId="77777777" w:rsidR="007F5970" w:rsidRDefault="007F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5D0" w14:textId="77777777" w:rsidR="007F5970" w:rsidRPr="00262AD0" w:rsidRDefault="007F5970">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065017">
      <w:rPr>
        <w:rFonts w:ascii="Arial" w:hAnsi="Arial" w:cs="Arial"/>
        <w:noProof/>
        <w:sz w:val="18"/>
        <w:szCs w:val="18"/>
      </w:rPr>
      <w:t>2</w:t>
    </w:r>
    <w:r w:rsidRPr="00223554">
      <w:rPr>
        <w:rFonts w:ascii="Arial" w:hAnsi="Arial" w:cs="Arial"/>
        <w:sz w:val="18"/>
        <w:szCs w:val="18"/>
      </w:rPr>
      <w:fldChar w:fldCharType="end"/>
    </w:r>
  </w:p>
  <w:p w14:paraId="10ECB580" w14:textId="77777777" w:rsidR="007F5970" w:rsidRDefault="007F5970" w:rsidP="007F597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7F5970" w:rsidRPr="008A0B0E" w:rsidRDefault="007F5970">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7F5970" w:rsidRDefault="007F59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7F5970" w:rsidRDefault="007F5970">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7F5970" w:rsidRDefault="007F59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7F5970" w:rsidRDefault="007F5970">
      <w:r>
        <w:separator/>
      </w:r>
    </w:p>
  </w:footnote>
  <w:footnote w:type="continuationSeparator" w:id="0">
    <w:p w14:paraId="2ECF9BAC" w14:textId="77777777" w:rsidR="007F5970" w:rsidRDefault="007F5970">
      <w:r>
        <w:continuationSeparator/>
      </w:r>
    </w:p>
  </w:footnote>
  <w:footnote w:type="continuationNotice" w:id="1">
    <w:p w14:paraId="5C4EB77B" w14:textId="77777777" w:rsidR="007F5970" w:rsidRDefault="007F5970"/>
  </w:footnote>
  <w:footnote w:id="2">
    <w:p w14:paraId="33F7298D" w14:textId="77777777" w:rsidR="007F5970" w:rsidRPr="00D80AFE" w:rsidRDefault="007F5970"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7F5970" w:rsidRPr="00D80AFE" w:rsidRDefault="007F5970"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7F5970" w:rsidRPr="00D80AFE" w:rsidRDefault="007F5970" w:rsidP="007F5970">
      <w:pPr>
        <w:pStyle w:val="Tekstprzypisudolnego"/>
        <w:rPr>
          <w:rFonts w:ascii="Arial" w:hAnsi="Arial" w:cs="Arial"/>
          <w:sz w:val="16"/>
          <w:szCs w:val="16"/>
        </w:rPr>
      </w:pPr>
    </w:p>
  </w:footnote>
  <w:footnote w:id="3">
    <w:p w14:paraId="62BBF375" w14:textId="77777777" w:rsidR="007F5970" w:rsidRDefault="007F5970"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7F5970" w:rsidRDefault="007F59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017"/>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7A1D-ACFB-42B9-8F3E-4A084CFC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72659</Words>
  <Characters>435958</Characters>
  <Application>Microsoft Office Word</Application>
  <DocSecurity>4</DocSecurity>
  <Lines>3632</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2018-08-21T10:24:00Z</cp:lastPrinted>
  <dcterms:created xsi:type="dcterms:W3CDTF">2018-09-25T13:57:00Z</dcterms:created>
  <dcterms:modified xsi:type="dcterms:W3CDTF">2018-09-25T13:57:00Z</dcterms:modified>
</cp:coreProperties>
</file>