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ED1E6" w14:textId="7453254E" w:rsidR="00EA3903" w:rsidRPr="00EA3903" w:rsidRDefault="007E218F" w:rsidP="00EA3903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>
        <w:tab/>
      </w:r>
      <w:r>
        <w:tab/>
      </w:r>
      <w:r>
        <w:tab/>
      </w:r>
      <w:r>
        <w:tab/>
      </w:r>
      <w:r>
        <w:tab/>
      </w:r>
      <w:r w:rsidR="00EA3903"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Zarządzenie nr </w:t>
      </w:r>
      <w:r w:rsidR="008052B1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15</w:t>
      </w:r>
      <w:r w:rsidR="00EA3903"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/201</w:t>
      </w:r>
      <w:r w:rsid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8</w:t>
      </w:r>
    </w:p>
    <w:p w14:paraId="6CE73626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Dyrektora Instytucji Pośredniczącej</w:t>
      </w:r>
    </w:p>
    <w:p w14:paraId="7D154896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 Aglomeracji Wałbrzyskiej</w:t>
      </w:r>
    </w:p>
    <w:p w14:paraId="348E9B34" w14:textId="7067F62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</w:pPr>
      <w:r w:rsidRPr="00EA390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 xml:space="preserve">z dnia </w:t>
      </w:r>
      <w:r w:rsidR="008052B1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26.</w:t>
      </w:r>
      <w:r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06</w:t>
      </w:r>
      <w:r w:rsidRPr="00EA390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.201</w:t>
      </w:r>
      <w:r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8</w:t>
      </w:r>
      <w:r w:rsidRPr="00EA390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 xml:space="preserve"> r.</w:t>
      </w:r>
    </w:p>
    <w:p w14:paraId="5DE4E558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</w:p>
    <w:p w14:paraId="313F3770" w14:textId="494F008F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w sprawie </w:t>
      </w:r>
      <w:r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dokonywania płatności na zasadach podzielonej płatności (split payment).</w:t>
      </w:r>
    </w:p>
    <w:p w14:paraId="613E8EB0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</w:p>
    <w:p w14:paraId="37F4EF52" w14:textId="6715868F" w:rsidR="00EA3903" w:rsidRPr="00C831E1" w:rsidRDefault="00EA3903" w:rsidP="00EA390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Na podstawie </w:t>
      </w:r>
      <w:r w:rsidRPr="00EA3903">
        <w:rPr>
          <w:rFonts w:ascii="Times New Roman" w:eastAsia="Times New Roman" w:hAnsi="Times New Roman" w:cs="Times New Roman"/>
          <w:lang w:eastAsia="hi-IN" w:bidi="ar-SA"/>
        </w:rPr>
        <w:t>§ 7 ust. 3 oraz § 8 Statutu Instytucji Pośredniczącej Aglomeracji Wałbrzyskiej stanowiącego załącznik do uchwały Nr III/21/2015 Rady Miejskiej Wałbrzycha z dnia 22 stycznia 2015 r. w sprawie utworzenia gminnej jednostki organizacyjnej pod nazwą: Instytucja Pośrednicząca Aglomeracji Wałbrzyskiej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</w:t>
      </w:r>
      <w:r w:rsidR="00B85722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(z późn. zm.), 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art. 8 i </w:t>
      </w:r>
      <w:r w:rsidR="00B85722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art. 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10 ustawy z dnia 29 września 1994 roku o rachunkowości (tekst jedn. Dz. U. z 201</w:t>
      </w:r>
      <w:r w:rsidR="00C831E1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8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r. poz. </w:t>
      </w:r>
      <w:r w:rsidR="00C831E1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395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z późn. zm.) </w:t>
      </w:r>
      <w:r w:rsidR="00C831E1" w:rsidRPr="00315717">
        <w:rPr>
          <w:rFonts w:ascii="Times New Roman" w:hAnsi="Times New Roman" w:cs="Times New Roman"/>
        </w:rPr>
        <w:t xml:space="preserve">oraz </w:t>
      </w:r>
      <w:r w:rsidR="00B85722">
        <w:rPr>
          <w:rFonts w:ascii="Times New Roman" w:hAnsi="Times New Roman" w:cs="Times New Roman"/>
        </w:rPr>
        <w:t xml:space="preserve">na podstawie </w:t>
      </w:r>
      <w:r w:rsidR="00737B7D">
        <w:rPr>
          <w:rFonts w:ascii="Times New Roman" w:hAnsi="Times New Roman" w:cs="Times New Roman"/>
        </w:rPr>
        <w:t xml:space="preserve">art.108a </w:t>
      </w:r>
      <w:r w:rsidR="004E398D">
        <w:rPr>
          <w:rFonts w:ascii="Times New Roman" w:hAnsi="Times New Roman" w:cs="Times New Roman"/>
        </w:rPr>
        <w:t xml:space="preserve">ustawy z dnia </w:t>
      </w:r>
      <w:r w:rsidR="00070642">
        <w:rPr>
          <w:rFonts w:ascii="Times New Roman" w:hAnsi="Times New Roman" w:cs="Times New Roman"/>
        </w:rPr>
        <w:t>11</w:t>
      </w:r>
      <w:r w:rsidR="0085474F">
        <w:rPr>
          <w:rFonts w:ascii="Times New Roman" w:hAnsi="Times New Roman" w:cs="Times New Roman"/>
        </w:rPr>
        <w:t xml:space="preserve"> marca </w:t>
      </w:r>
      <w:r w:rsidR="00070642">
        <w:rPr>
          <w:rFonts w:ascii="Times New Roman" w:hAnsi="Times New Roman" w:cs="Times New Roman"/>
        </w:rPr>
        <w:t xml:space="preserve">2004 r. o podatku od towarów i usług wprowadzonego ustawą </w:t>
      </w:r>
      <w:r w:rsidR="00C831E1" w:rsidRPr="00315717">
        <w:rPr>
          <w:rFonts w:ascii="Times New Roman" w:hAnsi="Times New Roman" w:cs="Times New Roman"/>
        </w:rPr>
        <w:t xml:space="preserve">z dnia 15 grudnia 2017 r. o zmianie ustawy o podatku od towarów i usług oraz niektórych innych ustaw (Dz. U. z 2018 r. poz. 62) </w:t>
      </w:r>
      <w:r w:rsidRPr="00C831E1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zarządzam co następuje</w:t>
      </w:r>
      <w:r w:rsidRPr="00C831E1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14:paraId="4A8E0085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</w:p>
    <w:p w14:paraId="44B6BF17" w14:textId="6074F912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§ 1. </w:t>
      </w:r>
      <w:r w:rsidR="00372F4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Wprowadza się do stosowania </w:t>
      </w: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9010E4">
        <w:rPr>
          <w:rFonts w:ascii="Times New Roman" w:eastAsiaTheme="minorHAnsi" w:hAnsi="Times New Roman" w:cs="Times New Roman"/>
          <w:color w:val="auto"/>
          <w:lang w:eastAsia="en-US" w:bidi="ar-SA"/>
        </w:rPr>
        <w:t>dokonywani</w:t>
      </w:r>
      <w:r w:rsidR="00372F4A">
        <w:rPr>
          <w:rFonts w:ascii="Times New Roman" w:eastAsiaTheme="minorHAnsi" w:hAnsi="Times New Roman" w:cs="Times New Roman"/>
          <w:color w:val="auto"/>
          <w:lang w:eastAsia="en-US" w:bidi="ar-SA"/>
        </w:rPr>
        <w:t>e</w:t>
      </w:r>
      <w:r w:rsidR="009010E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płatności na podstawie faktur zakupu realizowanych </w:t>
      </w:r>
      <w:r w:rsidR="0031571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="009010E4">
        <w:rPr>
          <w:rFonts w:ascii="Times New Roman" w:eastAsiaTheme="minorHAnsi" w:hAnsi="Times New Roman" w:cs="Times New Roman"/>
          <w:color w:val="auto"/>
          <w:lang w:eastAsia="en-US" w:bidi="ar-SA"/>
        </w:rPr>
        <w:t>na zasadach podzielonej płatności (split payment)</w:t>
      </w: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zgodnie z załącznikiem nr 1</w:t>
      </w:r>
      <w:r w:rsidR="00CD68F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>do Zarządzenia.</w:t>
      </w:r>
    </w:p>
    <w:p w14:paraId="31CDA7DA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§ 2. </w:t>
      </w: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>Wykonanie Zarządzenia powierza się Głównemu Księgowemu Instytucji Pośredniczącej Aglomeracji Wałbrzyskiej.</w:t>
      </w:r>
    </w:p>
    <w:p w14:paraId="39AD2F83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§ 3. </w:t>
      </w: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>Zarządzenie wchodzi w życie od dnia 01.0</w:t>
      </w:r>
      <w:r w:rsidR="00C831E1">
        <w:rPr>
          <w:rFonts w:ascii="Times New Roman" w:eastAsiaTheme="minorHAnsi" w:hAnsi="Times New Roman" w:cs="Times New Roman"/>
          <w:color w:val="auto"/>
          <w:lang w:eastAsia="en-US" w:bidi="ar-SA"/>
        </w:rPr>
        <w:t>7</w:t>
      </w: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>.201</w:t>
      </w:r>
      <w:r w:rsidR="00C831E1">
        <w:rPr>
          <w:rFonts w:ascii="Times New Roman" w:eastAsiaTheme="minorHAnsi" w:hAnsi="Times New Roman" w:cs="Times New Roman"/>
          <w:color w:val="auto"/>
          <w:lang w:eastAsia="en-US" w:bidi="ar-SA"/>
        </w:rPr>
        <w:t>8</w:t>
      </w: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roku.</w:t>
      </w:r>
    </w:p>
    <w:p w14:paraId="44047BD9" w14:textId="77777777" w:rsidR="00EA3903" w:rsidRDefault="007E218F" w:rsidP="007E218F">
      <w:pPr>
        <w:pStyle w:val="Teksttreci0"/>
        <w:shd w:val="clear" w:color="auto" w:fill="auto"/>
        <w:spacing w:after="280" w:line="240" w:lineRule="auto"/>
      </w:pPr>
      <w:r>
        <w:tab/>
      </w:r>
    </w:p>
    <w:p w14:paraId="7B1003B4" w14:textId="77777777" w:rsidR="00EA3903" w:rsidRDefault="00EA3903" w:rsidP="007E218F">
      <w:pPr>
        <w:pStyle w:val="Teksttreci0"/>
        <w:shd w:val="clear" w:color="auto" w:fill="auto"/>
        <w:spacing w:after="280" w:line="240" w:lineRule="auto"/>
      </w:pPr>
    </w:p>
    <w:p w14:paraId="306B025C" w14:textId="77777777" w:rsidR="00EA3903" w:rsidRDefault="00EA3903" w:rsidP="007E218F">
      <w:pPr>
        <w:pStyle w:val="Teksttreci0"/>
        <w:shd w:val="clear" w:color="auto" w:fill="auto"/>
        <w:spacing w:after="280" w:line="240" w:lineRule="auto"/>
      </w:pPr>
    </w:p>
    <w:p w14:paraId="1446418A" w14:textId="77777777" w:rsidR="00D20072" w:rsidRDefault="00D20072" w:rsidP="007E218F">
      <w:pPr>
        <w:pStyle w:val="Teksttreci0"/>
        <w:shd w:val="clear" w:color="auto" w:fill="auto"/>
        <w:spacing w:after="280" w:line="240" w:lineRule="auto"/>
      </w:pPr>
    </w:p>
    <w:p w14:paraId="664D14DC" w14:textId="77777777" w:rsidR="00D20072" w:rsidRDefault="00D20072" w:rsidP="007E218F">
      <w:pPr>
        <w:pStyle w:val="Teksttreci0"/>
        <w:shd w:val="clear" w:color="auto" w:fill="auto"/>
        <w:spacing w:after="280" w:line="240" w:lineRule="auto"/>
      </w:pPr>
    </w:p>
    <w:p w14:paraId="362631EF" w14:textId="77777777" w:rsidR="00D20072" w:rsidRDefault="00D20072" w:rsidP="007E218F">
      <w:pPr>
        <w:pStyle w:val="Teksttreci0"/>
        <w:shd w:val="clear" w:color="auto" w:fill="auto"/>
        <w:spacing w:after="280" w:line="240" w:lineRule="auto"/>
      </w:pPr>
    </w:p>
    <w:p w14:paraId="72567AE2" w14:textId="77777777" w:rsidR="00D20072" w:rsidRDefault="00D20072" w:rsidP="007E218F">
      <w:pPr>
        <w:pStyle w:val="Teksttreci0"/>
        <w:shd w:val="clear" w:color="auto" w:fill="auto"/>
        <w:spacing w:after="280" w:line="240" w:lineRule="auto"/>
      </w:pPr>
    </w:p>
    <w:p w14:paraId="7AB520DE" w14:textId="77777777" w:rsidR="00D20072" w:rsidRDefault="00D20072" w:rsidP="007E218F">
      <w:pPr>
        <w:pStyle w:val="Teksttreci0"/>
        <w:shd w:val="clear" w:color="auto" w:fill="auto"/>
        <w:spacing w:after="280" w:line="240" w:lineRule="auto"/>
      </w:pPr>
    </w:p>
    <w:p w14:paraId="11BACCBA" w14:textId="77777777" w:rsidR="00372F4A" w:rsidRDefault="00372F4A" w:rsidP="007E218F">
      <w:pPr>
        <w:pStyle w:val="Teksttreci0"/>
        <w:shd w:val="clear" w:color="auto" w:fill="auto"/>
        <w:spacing w:after="280" w:line="240" w:lineRule="auto"/>
      </w:pPr>
    </w:p>
    <w:p w14:paraId="464CBA96" w14:textId="77777777" w:rsidR="00EA3903" w:rsidRDefault="00EA3903" w:rsidP="007E218F">
      <w:pPr>
        <w:pStyle w:val="Teksttreci0"/>
        <w:shd w:val="clear" w:color="auto" w:fill="auto"/>
        <w:spacing w:after="280" w:line="240" w:lineRule="auto"/>
      </w:pPr>
    </w:p>
    <w:p w14:paraId="089EDD1E" w14:textId="77777777" w:rsidR="00EA3903" w:rsidRDefault="00EA3903" w:rsidP="007E218F">
      <w:pPr>
        <w:pStyle w:val="Teksttreci0"/>
        <w:shd w:val="clear" w:color="auto" w:fill="auto"/>
        <w:spacing w:after="280" w:line="240" w:lineRule="auto"/>
      </w:pPr>
    </w:p>
    <w:p w14:paraId="51958C75" w14:textId="77777777" w:rsidR="007E218F" w:rsidRDefault="007E218F" w:rsidP="007E218F">
      <w:pPr>
        <w:pStyle w:val="Teksttreci0"/>
        <w:shd w:val="clear" w:color="auto" w:fill="auto"/>
        <w:spacing w:after="280" w:line="240" w:lineRule="auto"/>
      </w:pPr>
      <w:r>
        <w:lastRenderedPageBreak/>
        <w:tab/>
      </w:r>
      <w:r>
        <w:tab/>
      </w:r>
      <w:r>
        <w:tab/>
      </w:r>
      <w:r w:rsidR="00D20072">
        <w:tab/>
      </w:r>
      <w:r w:rsidR="00D20072">
        <w:tab/>
      </w:r>
      <w:r w:rsidR="00D20072">
        <w:tab/>
      </w:r>
      <w:r w:rsidR="00D20072">
        <w:tab/>
      </w:r>
      <w:r w:rsidR="00D20072">
        <w:tab/>
      </w:r>
      <w:r w:rsidR="00D20072">
        <w:tab/>
      </w:r>
      <w:r>
        <w:t>Załącznik nr 1</w:t>
      </w:r>
    </w:p>
    <w:p w14:paraId="713A460F" w14:textId="46DD67E1" w:rsidR="007E218F" w:rsidRDefault="007E218F" w:rsidP="007E218F">
      <w:pPr>
        <w:pStyle w:val="Teksttreci0"/>
        <w:shd w:val="clear" w:color="auto" w:fill="auto"/>
        <w:spacing w:after="28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2B1">
        <w:t>Do Zarządzenia Nr 15</w:t>
      </w:r>
      <w:r>
        <w:t>/2018</w:t>
      </w:r>
    </w:p>
    <w:p w14:paraId="639E9A51" w14:textId="77777777" w:rsidR="007E218F" w:rsidRDefault="007E218F" w:rsidP="007E218F">
      <w:pPr>
        <w:pStyle w:val="Teksttreci0"/>
        <w:shd w:val="clear" w:color="auto" w:fill="auto"/>
        <w:spacing w:after="28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Dyrektora IPAW</w:t>
      </w:r>
    </w:p>
    <w:p w14:paraId="569312C8" w14:textId="57CA9C0C" w:rsidR="007E218F" w:rsidRDefault="007E218F" w:rsidP="007E218F">
      <w:pPr>
        <w:pStyle w:val="Teksttreci0"/>
        <w:shd w:val="clear" w:color="auto" w:fill="auto"/>
        <w:spacing w:after="28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2B1">
        <w:t>z dnia  26.06.2018 r.</w:t>
      </w:r>
    </w:p>
    <w:p w14:paraId="63445813" w14:textId="77777777" w:rsidR="007E218F" w:rsidRDefault="007E218F" w:rsidP="007E218F">
      <w:pPr>
        <w:pStyle w:val="Teksttreci0"/>
        <w:shd w:val="clear" w:color="auto" w:fill="auto"/>
        <w:spacing w:after="280" w:line="240" w:lineRule="auto"/>
      </w:pPr>
    </w:p>
    <w:p w14:paraId="4FF3AD70" w14:textId="21156B4B" w:rsidR="005B6397" w:rsidRPr="00D94276" w:rsidRDefault="002A0319">
      <w:pPr>
        <w:pStyle w:val="Teksttreci0"/>
        <w:shd w:val="clear" w:color="auto" w:fill="auto"/>
        <w:spacing w:after="280"/>
        <w:rPr>
          <w:sz w:val="24"/>
          <w:szCs w:val="24"/>
        </w:rPr>
      </w:pPr>
      <w:r w:rsidRPr="00D94276">
        <w:rPr>
          <w:sz w:val="24"/>
          <w:szCs w:val="24"/>
        </w:rPr>
        <w:t>Na podstawie</w:t>
      </w:r>
      <w:r w:rsidR="00737B7D">
        <w:rPr>
          <w:sz w:val="24"/>
          <w:szCs w:val="24"/>
        </w:rPr>
        <w:t xml:space="preserve"> art. 108a </w:t>
      </w:r>
      <w:r w:rsidRPr="00D94276">
        <w:rPr>
          <w:sz w:val="24"/>
          <w:szCs w:val="24"/>
        </w:rPr>
        <w:t xml:space="preserve"> </w:t>
      </w:r>
      <w:r w:rsidR="00AF3187" w:rsidRPr="008052B1">
        <w:rPr>
          <w:sz w:val="24"/>
          <w:szCs w:val="24"/>
        </w:rPr>
        <w:t>ustawy z dnia 11</w:t>
      </w:r>
      <w:r w:rsidR="0085474F">
        <w:rPr>
          <w:sz w:val="24"/>
          <w:szCs w:val="24"/>
        </w:rPr>
        <w:t xml:space="preserve"> marca </w:t>
      </w:r>
      <w:r w:rsidR="00AF3187" w:rsidRPr="008052B1">
        <w:rPr>
          <w:sz w:val="24"/>
          <w:szCs w:val="24"/>
        </w:rPr>
        <w:t xml:space="preserve">2004 r. o podatku od towarów i usług wprowadzonego </w:t>
      </w:r>
      <w:r w:rsidRPr="00D94276">
        <w:rPr>
          <w:sz w:val="24"/>
          <w:szCs w:val="24"/>
        </w:rPr>
        <w:t>u</w:t>
      </w:r>
      <w:r w:rsidR="00BD564A" w:rsidRPr="00D94276">
        <w:rPr>
          <w:sz w:val="24"/>
          <w:szCs w:val="24"/>
        </w:rPr>
        <w:t>staw</w:t>
      </w:r>
      <w:r w:rsidR="00AF3187">
        <w:rPr>
          <w:sz w:val="24"/>
          <w:szCs w:val="24"/>
        </w:rPr>
        <w:t>ą</w:t>
      </w:r>
      <w:r w:rsidR="00BD564A" w:rsidRPr="00D94276">
        <w:rPr>
          <w:sz w:val="24"/>
          <w:szCs w:val="24"/>
        </w:rPr>
        <w:t xml:space="preserve"> z dnia 15 grudnia 2017 r. o zmianie ustawy o podatku od towarów i usług oraz niektórych innych ustaw (Dz. U. z 2018 r. poz. 62) wprowadza </w:t>
      </w:r>
      <w:r w:rsidR="00527A20" w:rsidRPr="00D94276">
        <w:rPr>
          <w:sz w:val="24"/>
          <w:szCs w:val="24"/>
        </w:rPr>
        <w:t xml:space="preserve">się </w:t>
      </w:r>
      <w:r w:rsidR="00BD564A" w:rsidRPr="00D94276">
        <w:rPr>
          <w:sz w:val="24"/>
          <w:szCs w:val="24"/>
        </w:rPr>
        <w:t>mechanizm podzielonej płatności.</w:t>
      </w:r>
    </w:p>
    <w:p w14:paraId="5251880A" w14:textId="77777777" w:rsidR="002A0319" w:rsidRPr="00D94276" w:rsidRDefault="00BD564A" w:rsidP="002A0319">
      <w:pPr>
        <w:pStyle w:val="Teksttreci0"/>
        <w:numPr>
          <w:ilvl w:val="0"/>
          <w:numId w:val="2"/>
        </w:numPr>
        <w:shd w:val="clear" w:color="auto" w:fill="auto"/>
        <w:spacing w:after="280" w:line="396" w:lineRule="auto"/>
        <w:rPr>
          <w:sz w:val="24"/>
          <w:szCs w:val="24"/>
        </w:rPr>
      </w:pPr>
      <w:r w:rsidRPr="00D94276">
        <w:rPr>
          <w:sz w:val="24"/>
          <w:szCs w:val="24"/>
        </w:rPr>
        <w:t>W celu dochowania należytej staranności przy realizacji transakcji, tym samym</w:t>
      </w:r>
      <w:r w:rsidR="00372F4A" w:rsidRPr="00D94276">
        <w:rPr>
          <w:sz w:val="24"/>
          <w:szCs w:val="24"/>
        </w:rPr>
        <w:t xml:space="preserve"> dla bezpieczeństwa podatku Vat, stosownie do podjętej przez </w:t>
      </w:r>
      <w:r w:rsidRPr="00D94276">
        <w:rPr>
          <w:sz w:val="24"/>
          <w:szCs w:val="24"/>
        </w:rPr>
        <w:t>Gmin</w:t>
      </w:r>
      <w:r w:rsidR="00372F4A" w:rsidRPr="00D94276">
        <w:rPr>
          <w:sz w:val="24"/>
          <w:szCs w:val="24"/>
        </w:rPr>
        <w:t>ę</w:t>
      </w:r>
      <w:r w:rsidRPr="00D94276">
        <w:rPr>
          <w:sz w:val="24"/>
          <w:szCs w:val="24"/>
        </w:rPr>
        <w:t xml:space="preserve"> Wałbrzych  decyzj</w:t>
      </w:r>
      <w:r w:rsidR="00372F4A" w:rsidRPr="00D94276">
        <w:rPr>
          <w:sz w:val="24"/>
          <w:szCs w:val="24"/>
        </w:rPr>
        <w:t>i – Instytucja Pośrednicząca Aglomeracji Wałbrzys</w:t>
      </w:r>
      <w:r w:rsidR="001936BA">
        <w:rPr>
          <w:sz w:val="24"/>
          <w:szCs w:val="24"/>
        </w:rPr>
        <w:t>kiej od dnia 01.07.</w:t>
      </w:r>
      <w:r w:rsidR="00372F4A" w:rsidRPr="00D94276">
        <w:rPr>
          <w:sz w:val="24"/>
          <w:szCs w:val="24"/>
        </w:rPr>
        <w:t>2018 r. zobowiązana jest</w:t>
      </w:r>
      <w:r w:rsidRPr="00D94276">
        <w:rPr>
          <w:sz w:val="24"/>
          <w:szCs w:val="24"/>
        </w:rPr>
        <w:t xml:space="preserve"> </w:t>
      </w:r>
      <w:r w:rsidR="00372F4A" w:rsidRPr="00D94276">
        <w:rPr>
          <w:sz w:val="24"/>
          <w:szCs w:val="24"/>
        </w:rPr>
        <w:t>d</w:t>
      </w:r>
      <w:r w:rsidRPr="00D94276">
        <w:rPr>
          <w:sz w:val="24"/>
          <w:szCs w:val="24"/>
        </w:rPr>
        <w:t>o stosowani</w:t>
      </w:r>
      <w:r w:rsidR="00372F4A" w:rsidRPr="00D94276">
        <w:rPr>
          <w:sz w:val="24"/>
          <w:szCs w:val="24"/>
        </w:rPr>
        <w:t>a</w:t>
      </w:r>
      <w:r w:rsidRPr="00D94276">
        <w:rPr>
          <w:sz w:val="24"/>
          <w:szCs w:val="24"/>
        </w:rPr>
        <w:t xml:space="preserve"> podzielonej płatności uwzględniając zamieszczoną na stronach Ministerstwa Finansów „Metodykę w zakresie oceny dochowania należytej staranności przez nabywców towarów w transakcjach krajowych".</w:t>
      </w:r>
    </w:p>
    <w:p w14:paraId="1CDCC61F" w14:textId="77777777" w:rsidR="005B6397" w:rsidRPr="00D94276" w:rsidRDefault="005C4690" w:rsidP="002A0319">
      <w:pPr>
        <w:pStyle w:val="Teksttreci0"/>
        <w:numPr>
          <w:ilvl w:val="0"/>
          <w:numId w:val="2"/>
        </w:numPr>
        <w:shd w:val="clear" w:color="auto" w:fill="auto"/>
        <w:spacing w:after="280" w:line="396" w:lineRule="auto"/>
        <w:rPr>
          <w:sz w:val="24"/>
          <w:szCs w:val="24"/>
        </w:rPr>
      </w:pPr>
      <w:r w:rsidRPr="00D94276">
        <w:rPr>
          <w:sz w:val="24"/>
          <w:szCs w:val="24"/>
        </w:rPr>
        <w:t>Instytucja Pośrednicząca Aglomeracji Wałbrzyskiej</w:t>
      </w:r>
      <w:r w:rsidR="002A0319" w:rsidRPr="00D94276">
        <w:rPr>
          <w:sz w:val="24"/>
          <w:szCs w:val="24"/>
          <w:u w:val="single"/>
        </w:rPr>
        <w:t xml:space="preserve"> </w:t>
      </w:r>
      <w:r w:rsidR="00BD564A" w:rsidRPr="00D94276">
        <w:rPr>
          <w:sz w:val="24"/>
          <w:szCs w:val="24"/>
        </w:rPr>
        <w:t>będzie realizować płatności na rzecz kontrahentów, prowadzących działalność gospodarczą tylko na ich rach</w:t>
      </w:r>
      <w:r w:rsidRPr="00D94276">
        <w:rPr>
          <w:sz w:val="24"/>
          <w:szCs w:val="24"/>
        </w:rPr>
        <w:t>unki firmowe</w:t>
      </w:r>
      <w:r w:rsidR="00BD564A" w:rsidRPr="00D94276">
        <w:rPr>
          <w:sz w:val="24"/>
          <w:szCs w:val="24"/>
        </w:rPr>
        <w:t xml:space="preserve"> </w:t>
      </w:r>
      <w:r w:rsidRPr="00D94276">
        <w:rPr>
          <w:sz w:val="24"/>
          <w:szCs w:val="24"/>
        </w:rPr>
        <w:t>(</w:t>
      </w:r>
      <w:r w:rsidR="00BD564A" w:rsidRPr="00D94276">
        <w:rPr>
          <w:sz w:val="24"/>
          <w:szCs w:val="24"/>
        </w:rPr>
        <w:t>zgodnie z ustawą Bank nie prowadzi rachunku VAT do rachunku o</w:t>
      </w:r>
      <w:r w:rsidR="00A62AD8" w:rsidRPr="00D94276">
        <w:rPr>
          <w:sz w:val="24"/>
          <w:szCs w:val="24"/>
        </w:rPr>
        <w:t>szczędnościowo- rozliczeniowego,</w:t>
      </w:r>
      <w:r w:rsidRPr="00D94276">
        <w:rPr>
          <w:sz w:val="24"/>
          <w:szCs w:val="24"/>
        </w:rPr>
        <w:t xml:space="preserve"> </w:t>
      </w:r>
      <w:r w:rsidR="00BD564A" w:rsidRPr="00D94276">
        <w:rPr>
          <w:sz w:val="24"/>
          <w:szCs w:val="24"/>
        </w:rPr>
        <w:t>tzn. prywatnych rachunków osób fizycznych</w:t>
      </w:r>
      <w:r w:rsidRPr="00D94276">
        <w:rPr>
          <w:sz w:val="24"/>
          <w:szCs w:val="24"/>
        </w:rPr>
        <w:t xml:space="preserve">, </w:t>
      </w:r>
      <w:r w:rsidR="00BD564A" w:rsidRPr="00D94276">
        <w:rPr>
          <w:sz w:val="24"/>
          <w:szCs w:val="24"/>
        </w:rPr>
        <w:t xml:space="preserve"> płatność podzielona dokonana na konto osobiste, zostanie zwrócona przez bank odbiorcy na rachunek zleceniodawcy</w:t>
      </w:r>
      <w:r w:rsidR="00A62AD8" w:rsidRPr="00D94276">
        <w:rPr>
          <w:sz w:val="24"/>
          <w:szCs w:val="24"/>
        </w:rPr>
        <w:t>, n</w:t>
      </w:r>
      <w:r w:rsidRPr="00D94276">
        <w:rPr>
          <w:sz w:val="24"/>
          <w:szCs w:val="24"/>
        </w:rPr>
        <w:t>iezbędne jest</w:t>
      </w:r>
      <w:r w:rsidR="00BD564A" w:rsidRPr="00D94276">
        <w:rPr>
          <w:sz w:val="24"/>
          <w:szCs w:val="24"/>
        </w:rPr>
        <w:t xml:space="preserve"> posiadanie konta firmowego.</w:t>
      </w:r>
    </w:p>
    <w:p w14:paraId="5CA9489C" w14:textId="77777777" w:rsidR="002A0319" w:rsidRPr="00D94276" w:rsidRDefault="002A0319" w:rsidP="002A0319">
      <w:pPr>
        <w:pStyle w:val="Teksttreci0"/>
        <w:numPr>
          <w:ilvl w:val="0"/>
          <w:numId w:val="2"/>
        </w:numPr>
        <w:shd w:val="clear" w:color="auto" w:fill="auto"/>
        <w:spacing w:after="280" w:line="396" w:lineRule="auto"/>
        <w:rPr>
          <w:sz w:val="24"/>
          <w:szCs w:val="24"/>
        </w:rPr>
      </w:pPr>
      <w:r w:rsidRPr="00D94276">
        <w:rPr>
          <w:sz w:val="24"/>
          <w:szCs w:val="24"/>
        </w:rPr>
        <w:t>Nie stosuje się podzielonej płatności w przypadku:</w:t>
      </w:r>
    </w:p>
    <w:p w14:paraId="65536F19" w14:textId="77777777" w:rsidR="005B6397" w:rsidRPr="00D94276" w:rsidRDefault="001936BA" w:rsidP="002A0319">
      <w:pPr>
        <w:pStyle w:val="Teksttreci0"/>
        <w:numPr>
          <w:ilvl w:val="0"/>
          <w:numId w:val="3"/>
        </w:numPr>
        <w:shd w:val="clear" w:color="auto" w:fill="auto"/>
        <w:tabs>
          <w:tab w:val="left" w:pos="749"/>
        </w:tabs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="002A0319" w:rsidRPr="00D94276">
        <w:rPr>
          <w:sz w:val="24"/>
          <w:szCs w:val="24"/>
        </w:rPr>
        <w:t xml:space="preserve">trzymania faktury </w:t>
      </w:r>
      <w:r w:rsidR="00BD564A" w:rsidRPr="00D94276">
        <w:rPr>
          <w:sz w:val="24"/>
          <w:szCs w:val="24"/>
        </w:rPr>
        <w:t>PRO-FORMA</w:t>
      </w:r>
    </w:p>
    <w:p w14:paraId="4CD9F789" w14:textId="77777777" w:rsidR="002A0319" w:rsidRPr="00D94276" w:rsidRDefault="00BD564A" w:rsidP="002A0319">
      <w:pPr>
        <w:pStyle w:val="Teksttreci0"/>
        <w:shd w:val="clear" w:color="auto" w:fill="auto"/>
        <w:ind w:left="740"/>
        <w:rPr>
          <w:sz w:val="24"/>
          <w:szCs w:val="24"/>
        </w:rPr>
      </w:pPr>
      <w:r w:rsidRPr="00D94276">
        <w:rPr>
          <w:sz w:val="24"/>
          <w:szCs w:val="24"/>
        </w:rPr>
        <w:t>Przy otrzymaniu (albo wystawieniu) „faktury pro forma” nie będzie można zastosować mechanizmu split payment. Wynika to z faktu, że zgodnie z dodanym art. 108a ustawy o VAT płatności z zastosowaniem tego mechanizmu będzie można dokonać tylko pod warunkiem posiadania faktury w rozumieniu ustawy o VAT. „Faktura pro forma” nie jest zaś fakturą w rozumieniu tej ustawy - to tylko swego rodzaju przyjęty w obrocie gospodarczym dokument służący np. potwierdzeniu złożenia oferty</w:t>
      </w:r>
      <w:bookmarkStart w:id="0" w:name="_GoBack"/>
      <w:bookmarkEnd w:id="0"/>
      <w:r w:rsidRPr="00D94276">
        <w:rPr>
          <w:sz w:val="24"/>
          <w:szCs w:val="24"/>
        </w:rPr>
        <w:t xml:space="preserve"> o danej treści, czy też potwierdzeniu przyjęcia </w:t>
      </w:r>
      <w:r w:rsidRPr="00D94276">
        <w:rPr>
          <w:sz w:val="24"/>
          <w:szCs w:val="24"/>
        </w:rPr>
        <w:lastRenderedPageBreak/>
        <w:t>zamówienia do realizacji.</w:t>
      </w:r>
    </w:p>
    <w:p w14:paraId="60FA1A5C" w14:textId="77777777" w:rsidR="005B6397" w:rsidRPr="00D94276" w:rsidRDefault="001936BA" w:rsidP="002A0319">
      <w:pPr>
        <w:pStyle w:val="Teksttreci0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d</w:t>
      </w:r>
      <w:r w:rsidR="002A0319" w:rsidRPr="00D94276">
        <w:rPr>
          <w:sz w:val="24"/>
          <w:szCs w:val="24"/>
        </w:rPr>
        <w:t>okonania płatności w formie ZALICZKI</w:t>
      </w:r>
    </w:p>
    <w:p w14:paraId="75D22238" w14:textId="77777777" w:rsidR="005B6397" w:rsidRPr="00D94276" w:rsidRDefault="00BD564A">
      <w:pPr>
        <w:pStyle w:val="Teksttreci0"/>
        <w:shd w:val="clear" w:color="auto" w:fill="auto"/>
        <w:ind w:left="740"/>
        <w:rPr>
          <w:sz w:val="24"/>
          <w:szCs w:val="24"/>
        </w:rPr>
      </w:pPr>
      <w:r w:rsidRPr="00D94276">
        <w:rPr>
          <w:sz w:val="24"/>
          <w:szCs w:val="24"/>
        </w:rPr>
        <w:t>Z formalnego punktu widzenia zaliczka dokumentowana jest fakturą dopiero po jej wpływie na rachunek dostawcy. W klasycznym ujęciu najpierw dochodzi do zapłaty, a potem do wystawienia faktury zaliczkowej. W takiej sytuacji nie będzie można zastosować mechanizmu podzielonej płatności - ten wymaga bowiem, aby płatność dokonywana była na podstawie faktury (należy wskazać numer faktury przy dokonywaniu dedykowanego przelewu).</w:t>
      </w:r>
    </w:p>
    <w:p w14:paraId="1977C6A4" w14:textId="77777777" w:rsidR="005B6397" w:rsidRPr="00D94276" w:rsidRDefault="001936BA" w:rsidP="002A0319">
      <w:pPr>
        <w:pStyle w:val="Teksttreci0"/>
        <w:numPr>
          <w:ilvl w:val="0"/>
          <w:numId w:val="3"/>
        </w:numPr>
        <w:shd w:val="clear" w:color="auto" w:fill="auto"/>
        <w:tabs>
          <w:tab w:val="left" w:pos="749"/>
        </w:tabs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2A0319" w:rsidRPr="00D94276">
        <w:rPr>
          <w:sz w:val="24"/>
          <w:szCs w:val="24"/>
        </w:rPr>
        <w:t xml:space="preserve">okonania płatności w formie </w:t>
      </w:r>
      <w:r w:rsidR="000F0AF4" w:rsidRPr="00D94276">
        <w:rPr>
          <w:sz w:val="24"/>
          <w:szCs w:val="24"/>
        </w:rPr>
        <w:t>GOTÓWKI</w:t>
      </w:r>
    </w:p>
    <w:p w14:paraId="230C44A4" w14:textId="77777777" w:rsidR="005B6397" w:rsidRPr="00D94276" w:rsidRDefault="00BD564A">
      <w:pPr>
        <w:pStyle w:val="Teksttreci0"/>
        <w:shd w:val="clear" w:color="auto" w:fill="auto"/>
        <w:spacing w:after="960"/>
        <w:ind w:left="740"/>
        <w:rPr>
          <w:sz w:val="24"/>
          <w:szCs w:val="24"/>
        </w:rPr>
      </w:pPr>
      <w:r w:rsidRPr="00D94276">
        <w:rPr>
          <w:sz w:val="24"/>
          <w:szCs w:val="24"/>
        </w:rPr>
        <w:t xml:space="preserve">W związku z brakiem ochrony przed oskarżeniem ze strony Krajowej Administracji Skarbowej, o świadomy lub nieświadomy udział w oszustwie lub nadużyciu w zakresie VAT, </w:t>
      </w:r>
      <w:r w:rsidR="000F0AF4" w:rsidRPr="00D94276">
        <w:rPr>
          <w:sz w:val="24"/>
          <w:szCs w:val="24"/>
        </w:rPr>
        <w:t xml:space="preserve">nie stosuje się </w:t>
      </w:r>
      <w:r w:rsidRPr="00D94276">
        <w:rPr>
          <w:sz w:val="24"/>
          <w:szCs w:val="24"/>
        </w:rPr>
        <w:t xml:space="preserve">płatności gotówkowych, które od dnia 01.07.2018r. nie będą objęte mechanizmem podzielonej płatności, stosowanym </w:t>
      </w:r>
      <w:r w:rsidR="000F0AF4" w:rsidRPr="00D94276">
        <w:rPr>
          <w:sz w:val="24"/>
          <w:szCs w:val="24"/>
        </w:rPr>
        <w:t>od tego dnia w Gminie Wałbrzych- Instytucji Pośredniczącej Aglomeracji Wałbrzyskiej</w:t>
      </w:r>
    </w:p>
    <w:p w14:paraId="28B210DC" w14:textId="4DC1F351" w:rsidR="000F0AF4" w:rsidRPr="00D94276" w:rsidRDefault="00527A20" w:rsidP="00527A20">
      <w:pPr>
        <w:pStyle w:val="Teksttreci0"/>
        <w:numPr>
          <w:ilvl w:val="0"/>
          <w:numId w:val="2"/>
        </w:numPr>
        <w:shd w:val="clear" w:color="auto" w:fill="auto"/>
        <w:spacing w:after="260" w:line="396" w:lineRule="auto"/>
        <w:rPr>
          <w:sz w:val="24"/>
          <w:szCs w:val="24"/>
        </w:rPr>
      </w:pPr>
      <w:r w:rsidRPr="00D94276">
        <w:rPr>
          <w:sz w:val="24"/>
          <w:szCs w:val="24"/>
        </w:rPr>
        <w:t>Od dnia 01.07.2018r. p</w:t>
      </w:r>
      <w:r w:rsidR="000F0AF4" w:rsidRPr="00D94276">
        <w:rPr>
          <w:sz w:val="24"/>
          <w:szCs w:val="24"/>
        </w:rPr>
        <w:t>rzy zawieraniu umów z kontrahentami wprowadza się zapis:</w:t>
      </w:r>
    </w:p>
    <w:p w14:paraId="523D9420" w14:textId="317C2C7E" w:rsidR="00AF5638" w:rsidRPr="00D94276" w:rsidRDefault="000F0AF4" w:rsidP="00AF5638">
      <w:pPr>
        <w:pStyle w:val="Teksttreci0"/>
        <w:shd w:val="clear" w:color="auto" w:fill="auto"/>
        <w:spacing w:after="260" w:line="396" w:lineRule="auto"/>
        <w:ind w:left="760"/>
        <w:rPr>
          <w:sz w:val="24"/>
          <w:szCs w:val="24"/>
        </w:rPr>
      </w:pPr>
      <w:r w:rsidRPr="00D94276">
        <w:rPr>
          <w:sz w:val="24"/>
          <w:szCs w:val="24"/>
        </w:rPr>
        <w:t xml:space="preserve"> </w:t>
      </w:r>
      <w:r w:rsidR="00BD564A" w:rsidRPr="00D94276">
        <w:rPr>
          <w:sz w:val="24"/>
          <w:szCs w:val="24"/>
        </w:rPr>
        <w:t>„</w:t>
      </w:r>
      <w:r w:rsidR="00065BB2">
        <w:rPr>
          <w:sz w:val="24"/>
          <w:szCs w:val="24"/>
        </w:rPr>
        <w:t>O</w:t>
      </w:r>
      <w:r w:rsidR="00BD564A" w:rsidRPr="00D94276">
        <w:rPr>
          <w:sz w:val="24"/>
          <w:szCs w:val="24"/>
        </w:rPr>
        <w:t xml:space="preserve">świadczam, iż numer rachunku bankowego wskazany na fakturze/umowie jest numerem właściwym do dokonywania rozliczeń na zasadach podzielonej płatności (split payment) ” - Ustawa z dnia </w:t>
      </w:r>
      <w:r w:rsidR="0085474F" w:rsidRPr="00102379">
        <w:rPr>
          <w:sz w:val="24"/>
          <w:szCs w:val="24"/>
        </w:rPr>
        <w:t>11</w:t>
      </w:r>
      <w:r w:rsidR="0085474F">
        <w:rPr>
          <w:sz w:val="24"/>
          <w:szCs w:val="24"/>
        </w:rPr>
        <w:t xml:space="preserve"> marca </w:t>
      </w:r>
      <w:r w:rsidR="0085474F" w:rsidRPr="00102379">
        <w:rPr>
          <w:sz w:val="24"/>
          <w:szCs w:val="24"/>
        </w:rPr>
        <w:t>2004 r. o podatku od towarów i usług</w:t>
      </w:r>
      <w:r w:rsidR="0085474F" w:rsidRPr="00D94276">
        <w:rPr>
          <w:sz w:val="24"/>
          <w:szCs w:val="24"/>
        </w:rPr>
        <w:t xml:space="preserve"> </w:t>
      </w:r>
      <w:r w:rsidR="0085474F">
        <w:rPr>
          <w:sz w:val="24"/>
          <w:szCs w:val="24"/>
        </w:rPr>
        <w:t xml:space="preserve">zmieniona ustawą z dnia </w:t>
      </w:r>
      <w:r w:rsidR="00BD564A" w:rsidRPr="00D94276">
        <w:rPr>
          <w:sz w:val="24"/>
          <w:szCs w:val="24"/>
        </w:rPr>
        <w:t>15 grudnia 2017 r. o zmianie ustawy o podatku od towarów i usług oraz</w:t>
      </w:r>
      <w:r w:rsidRPr="00D94276">
        <w:rPr>
          <w:sz w:val="24"/>
          <w:szCs w:val="24"/>
        </w:rPr>
        <w:t xml:space="preserve"> </w:t>
      </w:r>
      <w:r w:rsidR="00BD564A" w:rsidRPr="00D94276">
        <w:rPr>
          <w:sz w:val="24"/>
          <w:szCs w:val="24"/>
        </w:rPr>
        <w:t xml:space="preserve">niektórych innych ustaw (Dz. U. z 2018 r. poz. 62) </w:t>
      </w:r>
      <w:r w:rsidR="00FA2937">
        <w:rPr>
          <w:sz w:val="24"/>
          <w:szCs w:val="24"/>
        </w:rPr>
        <w:t xml:space="preserve"> </w:t>
      </w:r>
    </w:p>
    <w:p w14:paraId="1F685F0D" w14:textId="1FB38A1E" w:rsidR="005B6397" w:rsidRPr="00D94276" w:rsidRDefault="00AF5638" w:rsidP="00AF5638">
      <w:pPr>
        <w:pStyle w:val="Teksttreci0"/>
        <w:numPr>
          <w:ilvl w:val="0"/>
          <w:numId w:val="2"/>
        </w:numPr>
        <w:shd w:val="clear" w:color="auto" w:fill="auto"/>
        <w:spacing w:after="260" w:line="396" w:lineRule="auto"/>
        <w:rPr>
          <w:sz w:val="24"/>
          <w:szCs w:val="24"/>
        </w:rPr>
      </w:pPr>
      <w:r w:rsidRPr="00D94276">
        <w:rPr>
          <w:sz w:val="24"/>
          <w:szCs w:val="24"/>
        </w:rPr>
        <w:t xml:space="preserve">Na druku zapytania ofertowego </w:t>
      </w:r>
      <w:r w:rsidR="00BD564A" w:rsidRPr="00D94276">
        <w:rPr>
          <w:sz w:val="24"/>
          <w:szCs w:val="24"/>
        </w:rPr>
        <w:t>zamie</w:t>
      </w:r>
      <w:r w:rsidRPr="00D94276">
        <w:rPr>
          <w:sz w:val="24"/>
          <w:szCs w:val="24"/>
        </w:rPr>
        <w:t xml:space="preserve">szcza się </w:t>
      </w:r>
      <w:r w:rsidR="00BD564A" w:rsidRPr="00D94276">
        <w:rPr>
          <w:sz w:val="24"/>
          <w:szCs w:val="24"/>
        </w:rPr>
        <w:t>zapis:</w:t>
      </w:r>
    </w:p>
    <w:p w14:paraId="02133DE2" w14:textId="20769032" w:rsidR="005B6397" w:rsidRDefault="001936BA">
      <w:pPr>
        <w:pStyle w:val="Teksttreci0"/>
        <w:shd w:val="clear" w:color="auto" w:fill="auto"/>
        <w:spacing w:after="820"/>
        <w:ind w:left="580" w:firstLine="20"/>
        <w:rPr>
          <w:sz w:val="24"/>
          <w:szCs w:val="24"/>
        </w:rPr>
      </w:pPr>
      <w:r>
        <w:rPr>
          <w:sz w:val="24"/>
          <w:szCs w:val="24"/>
        </w:rPr>
        <w:t>„</w:t>
      </w:r>
      <w:r w:rsidR="00065BB2">
        <w:rPr>
          <w:sz w:val="24"/>
          <w:szCs w:val="24"/>
        </w:rPr>
        <w:t>N</w:t>
      </w:r>
      <w:r w:rsidR="00BD564A" w:rsidRPr="00D94276">
        <w:rPr>
          <w:sz w:val="24"/>
          <w:szCs w:val="24"/>
        </w:rPr>
        <w:t xml:space="preserve">umer rachunku bankowego wskazany na fakturze powinien być numerem właściwym do dokonywania rozliczeń na zasadach podzielonej płatności (split payment)” - Ustawa z dnia </w:t>
      </w:r>
      <w:r w:rsidR="00951E74" w:rsidRPr="00102379">
        <w:rPr>
          <w:sz w:val="24"/>
          <w:szCs w:val="24"/>
        </w:rPr>
        <w:t>11</w:t>
      </w:r>
      <w:r w:rsidR="00951E74">
        <w:rPr>
          <w:sz w:val="24"/>
          <w:szCs w:val="24"/>
        </w:rPr>
        <w:t xml:space="preserve"> marca </w:t>
      </w:r>
      <w:r w:rsidR="00951E74" w:rsidRPr="00102379">
        <w:rPr>
          <w:sz w:val="24"/>
          <w:szCs w:val="24"/>
        </w:rPr>
        <w:t>2004 r. o podatku od towarów i usług</w:t>
      </w:r>
      <w:r w:rsidR="00951E74" w:rsidRPr="00D94276">
        <w:rPr>
          <w:sz w:val="24"/>
          <w:szCs w:val="24"/>
        </w:rPr>
        <w:t xml:space="preserve"> </w:t>
      </w:r>
      <w:r w:rsidR="00951E74">
        <w:rPr>
          <w:sz w:val="24"/>
          <w:szCs w:val="24"/>
        </w:rPr>
        <w:t xml:space="preserve">zmieniona ustawą z dnia </w:t>
      </w:r>
      <w:r w:rsidR="00BD564A" w:rsidRPr="00D94276">
        <w:rPr>
          <w:sz w:val="24"/>
          <w:szCs w:val="24"/>
        </w:rPr>
        <w:t>15 grudnia 2017 r. o zmianie ustawy o podatku od towarów i usług oraz niektórych innych ustaw (Dz. U. z 2018 r. poz. 62).</w:t>
      </w:r>
    </w:p>
    <w:p w14:paraId="1B21C312" w14:textId="77777777" w:rsidR="008052B1" w:rsidRPr="00D94276" w:rsidRDefault="008052B1">
      <w:pPr>
        <w:pStyle w:val="Teksttreci0"/>
        <w:shd w:val="clear" w:color="auto" w:fill="auto"/>
        <w:spacing w:after="820"/>
        <w:ind w:left="580" w:firstLine="20"/>
        <w:rPr>
          <w:sz w:val="24"/>
          <w:szCs w:val="24"/>
        </w:rPr>
      </w:pPr>
    </w:p>
    <w:p w14:paraId="3739B782" w14:textId="7F86A2D4" w:rsidR="00AF5638" w:rsidRPr="00D94276" w:rsidRDefault="00AF5638" w:rsidP="00D94276">
      <w:pPr>
        <w:pStyle w:val="Teksttreci0"/>
        <w:numPr>
          <w:ilvl w:val="0"/>
          <w:numId w:val="2"/>
        </w:numPr>
        <w:shd w:val="clear" w:color="auto" w:fill="auto"/>
        <w:spacing w:after="820" w:line="276" w:lineRule="auto"/>
        <w:rPr>
          <w:sz w:val="24"/>
          <w:szCs w:val="24"/>
        </w:rPr>
      </w:pPr>
      <w:r w:rsidRPr="00D94276">
        <w:rPr>
          <w:sz w:val="24"/>
          <w:szCs w:val="24"/>
        </w:rPr>
        <w:t>Wzór oświadczeni</w:t>
      </w:r>
      <w:r w:rsidR="00065BB2">
        <w:rPr>
          <w:sz w:val="24"/>
          <w:szCs w:val="24"/>
        </w:rPr>
        <w:t>a</w:t>
      </w:r>
      <w:r w:rsidRPr="00D94276">
        <w:rPr>
          <w:sz w:val="24"/>
          <w:szCs w:val="24"/>
        </w:rPr>
        <w:t xml:space="preserve">, który należy zastosować do umów zawartych przed 01.07.2018r. i nadal </w:t>
      </w:r>
      <w:r w:rsidRPr="00D94276">
        <w:rPr>
          <w:sz w:val="24"/>
          <w:szCs w:val="24"/>
        </w:rPr>
        <w:lastRenderedPageBreak/>
        <w:t>obowiązujących:</w:t>
      </w:r>
    </w:p>
    <w:p w14:paraId="3C41B6BE" w14:textId="77777777" w:rsidR="00D94276" w:rsidRDefault="00D94276" w:rsidP="00D94276">
      <w:pPr>
        <w:pStyle w:val="Standard"/>
        <w:spacing w:line="276" w:lineRule="auto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Wałbrzych, dnia …………………..</w:t>
      </w:r>
    </w:p>
    <w:p w14:paraId="400C7090" w14:textId="77777777" w:rsidR="00D94276" w:rsidRDefault="00D94276" w:rsidP="00D94276">
      <w:pPr>
        <w:pStyle w:val="Standard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3847207A" w14:textId="77777777" w:rsidR="00D94276" w:rsidRDefault="00D94276" w:rsidP="00D94276">
      <w:pPr>
        <w:pStyle w:val="Standard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1BB5ABD5" w14:textId="77777777" w:rsidR="00D94276" w:rsidRDefault="00D94276" w:rsidP="00D94276">
      <w:pPr>
        <w:pStyle w:val="Standard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238DD71C" w14:textId="77777777" w:rsidR="00D94276" w:rsidRDefault="00D94276" w:rsidP="00D94276">
      <w:pPr>
        <w:pStyle w:val="Standard"/>
        <w:spacing w:line="276" w:lineRule="auto"/>
        <w:ind w:left="72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Nazwa i adres Wykonawcy, NIP, Regon</w:t>
      </w:r>
    </w:p>
    <w:p w14:paraId="138200A7" w14:textId="77777777" w:rsidR="00D94276" w:rsidRDefault="00D94276" w:rsidP="00D94276">
      <w:pPr>
        <w:pStyle w:val="Standard"/>
        <w:ind w:left="720"/>
        <w:rPr>
          <w:rFonts w:ascii="Times New Roman" w:hAnsi="Times New Roman"/>
        </w:rPr>
      </w:pPr>
    </w:p>
    <w:p w14:paraId="7D5FB1F9" w14:textId="77777777" w:rsidR="00D94276" w:rsidRDefault="00D94276" w:rsidP="00D94276">
      <w:pPr>
        <w:pStyle w:val="Standard"/>
        <w:ind w:left="720"/>
        <w:rPr>
          <w:rFonts w:ascii="Times New Roman" w:hAnsi="Times New Roman"/>
        </w:rPr>
      </w:pPr>
    </w:p>
    <w:p w14:paraId="5B3B9D35" w14:textId="77777777" w:rsidR="00D94276" w:rsidRDefault="00D94276" w:rsidP="00D94276">
      <w:pPr>
        <w:pStyle w:val="Standard"/>
        <w:ind w:left="720"/>
        <w:rPr>
          <w:rFonts w:ascii="Times New Roman" w:hAnsi="Times New Roman"/>
        </w:rPr>
      </w:pPr>
    </w:p>
    <w:p w14:paraId="190AEEEC" w14:textId="77777777" w:rsidR="00D94276" w:rsidRDefault="00D94276" w:rsidP="00D94276">
      <w:pPr>
        <w:pStyle w:val="Standard"/>
        <w:ind w:left="720"/>
        <w:rPr>
          <w:rFonts w:ascii="Times New Roman" w:hAnsi="Times New Roman"/>
        </w:rPr>
      </w:pPr>
    </w:p>
    <w:p w14:paraId="537C8017" w14:textId="77777777" w:rsidR="00D94276" w:rsidRDefault="00D94276" w:rsidP="00D94276">
      <w:pPr>
        <w:pStyle w:val="Standard"/>
        <w:ind w:left="720"/>
        <w:rPr>
          <w:rFonts w:ascii="Times New Roman" w:hAnsi="Times New Roman"/>
        </w:rPr>
      </w:pPr>
    </w:p>
    <w:p w14:paraId="6A4AE093" w14:textId="77777777" w:rsidR="00D94276" w:rsidRDefault="00D94276" w:rsidP="00D94276">
      <w:pPr>
        <w:pStyle w:val="Standard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559648A9" w14:textId="77777777" w:rsidR="00D94276" w:rsidRDefault="00D94276" w:rsidP="00D94276">
      <w:pPr>
        <w:pStyle w:val="Standard"/>
        <w:ind w:left="720"/>
        <w:rPr>
          <w:rFonts w:ascii="Times New Roman" w:hAnsi="Times New Roman"/>
        </w:rPr>
      </w:pPr>
    </w:p>
    <w:p w14:paraId="016E4C65" w14:textId="77777777" w:rsidR="00D94276" w:rsidRDefault="00D94276" w:rsidP="00D94276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F757FBA" w14:textId="3016EB7B" w:rsidR="00D94276" w:rsidRDefault="00D94276" w:rsidP="00D94276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numer rachunku bankowego wskazany na fakturach wystawianych</w:t>
      </w:r>
      <w:r w:rsidR="00065B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związku z realizacją umowy zawartej z Gminą Wałbrzych – Instytucją Pośredniczącą Aglomeracji Wałbrzyskiej nr …………………………………………………. z dnia ………………….. jest numerem właściwym dla dokonania rozliczeń na zasadach podzielonej płatności (split payment), zgodnie z przepisami ustawy </w:t>
      </w:r>
      <w:r w:rsidR="008F28A2">
        <w:rPr>
          <w:rFonts w:ascii="Times New Roman" w:hAnsi="Times New Roman"/>
        </w:rPr>
        <w:t xml:space="preserve">z dnia </w:t>
      </w:r>
      <w:r w:rsidR="008F28A2" w:rsidRPr="00102379">
        <w:rPr>
          <w:rFonts w:ascii="Times New Roman" w:hAnsi="Times New Roman" w:cs="Times New Roman"/>
        </w:rPr>
        <w:t>11</w:t>
      </w:r>
      <w:r w:rsidR="008F28A2">
        <w:t xml:space="preserve"> marca </w:t>
      </w:r>
      <w:r w:rsidR="008F28A2" w:rsidRPr="00102379">
        <w:rPr>
          <w:rFonts w:ascii="Times New Roman" w:hAnsi="Times New Roman" w:cs="Times New Roman"/>
        </w:rPr>
        <w:t>2004 r. o podatku od towarów i usług</w:t>
      </w:r>
      <w:r w:rsidR="008F28A2" w:rsidRPr="00D94276">
        <w:t xml:space="preserve"> </w:t>
      </w:r>
      <w:r w:rsidR="008F28A2">
        <w:t xml:space="preserve">(tekst jedn. Dz. U. z 2017 r., poz. 1221 z późn. zm.) </w:t>
      </w:r>
      <w:r>
        <w:rPr>
          <w:rFonts w:ascii="Times New Roman" w:hAnsi="Times New Roman"/>
        </w:rPr>
        <w:t>.</w:t>
      </w:r>
    </w:p>
    <w:p w14:paraId="59B1F5E3" w14:textId="77777777" w:rsidR="00D94276" w:rsidRDefault="00D94276" w:rsidP="00D94276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</w:p>
    <w:p w14:paraId="1B32D976" w14:textId="77777777" w:rsidR="00D94276" w:rsidRDefault="00D94276" w:rsidP="00D94276">
      <w:pPr>
        <w:pStyle w:val="Standard"/>
        <w:ind w:left="720"/>
        <w:jc w:val="both"/>
        <w:rPr>
          <w:rFonts w:ascii="Times New Roman" w:hAnsi="Times New Roman"/>
        </w:rPr>
      </w:pPr>
    </w:p>
    <w:p w14:paraId="08CD4F19" w14:textId="77777777" w:rsidR="00D94276" w:rsidRDefault="00D94276" w:rsidP="00D94276">
      <w:pPr>
        <w:pStyle w:val="Standard"/>
        <w:ind w:left="720"/>
        <w:jc w:val="both"/>
        <w:rPr>
          <w:rFonts w:ascii="Times New Roman" w:hAnsi="Times New Roman"/>
        </w:rPr>
      </w:pPr>
    </w:p>
    <w:p w14:paraId="476033A5" w14:textId="77777777" w:rsidR="00D94276" w:rsidRDefault="00D94276" w:rsidP="00D94276">
      <w:pPr>
        <w:pStyle w:val="Standard"/>
        <w:ind w:left="720"/>
        <w:jc w:val="both"/>
        <w:rPr>
          <w:rFonts w:ascii="Times New Roman" w:hAnsi="Times New Roman"/>
        </w:rPr>
      </w:pPr>
    </w:p>
    <w:p w14:paraId="50AA184F" w14:textId="77777777" w:rsidR="00D94276" w:rsidRDefault="00D94276" w:rsidP="00D94276">
      <w:pPr>
        <w:pStyle w:val="Standard"/>
        <w:ind w:left="720"/>
        <w:jc w:val="both"/>
        <w:rPr>
          <w:rFonts w:ascii="Times New Roman" w:hAnsi="Times New Roman"/>
        </w:rPr>
      </w:pPr>
    </w:p>
    <w:p w14:paraId="28736099" w14:textId="77777777" w:rsidR="00D94276" w:rsidRDefault="00D94276" w:rsidP="00D94276">
      <w:pPr>
        <w:pStyle w:val="Standard"/>
        <w:ind w:left="720"/>
        <w:jc w:val="both"/>
        <w:rPr>
          <w:rFonts w:ascii="Times New Roman" w:hAnsi="Times New Roman"/>
        </w:rPr>
      </w:pPr>
    </w:p>
    <w:p w14:paraId="6D4D9583" w14:textId="77777777" w:rsidR="00D94276" w:rsidRDefault="00D94276" w:rsidP="00D94276">
      <w:pPr>
        <w:pStyle w:val="Standard"/>
        <w:ind w:left="720"/>
        <w:jc w:val="both"/>
        <w:rPr>
          <w:rFonts w:ascii="Times New Roman" w:hAnsi="Times New Roman"/>
        </w:rPr>
      </w:pPr>
    </w:p>
    <w:p w14:paraId="546DAAD0" w14:textId="77777777" w:rsidR="00D94276" w:rsidRDefault="00D94276" w:rsidP="00D94276">
      <w:pPr>
        <w:pStyle w:val="Standard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14:paraId="0E3EE0E1" w14:textId="77777777" w:rsidR="00D94276" w:rsidRDefault="00D94276" w:rsidP="00D94276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i/>
          <w:iCs/>
          <w:sz w:val="18"/>
          <w:szCs w:val="18"/>
        </w:rPr>
        <w:t>Podpis(y) osoby (osób) upoważnionej(ych)</w:t>
      </w:r>
    </w:p>
    <w:p w14:paraId="1D45E01F" w14:textId="77777777" w:rsidR="00D94276" w:rsidRDefault="00D94276" w:rsidP="00D94276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  <w:t xml:space="preserve">do reprezentowania </w:t>
      </w:r>
    </w:p>
    <w:p w14:paraId="1CB3CA93" w14:textId="77777777" w:rsidR="00D94276" w:rsidRDefault="00D94276" w:rsidP="00D94276">
      <w:pPr>
        <w:pStyle w:val="Teksttreci0"/>
        <w:shd w:val="clear" w:color="auto" w:fill="auto"/>
        <w:spacing w:after="820"/>
        <w:ind w:left="720"/>
      </w:pPr>
    </w:p>
    <w:p w14:paraId="386F1D8E" w14:textId="77777777" w:rsidR="00D94276" w:rsidRDefault="00D94276" w:rsidP="00D94276">
      <w:pPr>
        <w:pStyle w:val="Teksttreci0"/>
        <w:shd w:val="clear" w:color="auto" w:fill="auto"/>
        <w:spacing w:after="820"/>
        <w:ind w:left="720"/>
      </w:pPr>
    </w:p>
    <w:p w14:paraId="7A549D41" w14:textId="77777777" w:rsidR="008052B1" w:rsidRDefault="008052B1" w:rsidP="00D94276">
      <w:pPr>
        <w:pStyle w:val="Teksttreci0"/>
        <w:shd w:val="clear" w:color="auto" w:fill="auto"/>
        <w:spacing w:after="820"/>
        <w:ind w:left="720"/>
      </w:pPr>
    </w:p>
    <w:p w14:paraId="19CD9440" w14:textId="77777777" w:rsidR="005B6397" w:rsidRPr="00E26BA7" w:rsidRDefault="00BD564A" w:rsidP="00315717">
      <w:pPr>
        <w:pStyle w:val="Teksttreci0"/>
        <w:numPr>
          <w:ilvl w:val="0"/>
          <w:numId w:val="2"/>
        </w:numPr>
        <w:shd w:val="clear" w:color="auto" w:fill="auto"/>
        <w:spacing w:after="140" w:line="403" w:lineRule="auto"/>
        <w:rPr>
          <w:sz w:val="24"/>
          <w:szCs w:val="24"/>
        </w:rPr>
      </w:pPr>
      <w:r w:rsidRPr="00E26BA7">
        <w:rPr>
          <w:sz w:val="24"/>
          <w:szCs w:val="24"/>
        </w:rPr>
        <w:t xml:space="preserve">Ponadto </w:t>
      </w:r>
      <w:r w:rsidR="008B7149" w:rsidRPr="00E26BA7">
        <w:rPr>
          <w:sz w:val="24"/>
          <w:szCs w:val="24"/>
        </w:rPr>
        <w:t xml:space="preserve">należy </w:t>
      </w:r>
      <w:r w:rsidRPr="00E26BA7">
        <w:rPr>
          <w:sz w:val="24"/>
          <w:szCs w:val="24"/>
        </w:rPr>
        <w:t>zwr</w:t>
      </w:r>
      <w:r w:rsidR="008B7149" w:rsidRPr="00E26BA7">
        <w:rPr>
          <w:sz w:val="24"/>
          <w:szCs w:val="24"/>
        </w:rPr>
        <w:t>ócić</w:t>
      </w:r>
      <w:r w:rsidRPr="00E26BA7">
        <w:rPr>
          <w:sz w:val="24"/>
          <w:szCs w:val="24"/>
        </w:rPr>
        <w:t xml:space="preserve"> uwagę, iż zgodnie z wytycznymi Ministerstwa Finansów:</w:t>
      </w:r>
    </w:p>
    <w:p w14:paraId="7EBD0F8C" w14:textId="77777777" w:rsidR="005B6397" w:rsidRPr="00E26BA7" w:rsidRDefault="00BD564A">
      <w:pPr>
        <w:pStyle w:val="Teksttreci0"/>
        <w:shd w:val="clear" w:color="auto" w:fill="auto"/>
        <w:spacing w:line="396" w:lineRule="auto"/>
        <w:ind w:left="580" w:firstLine="20"/>
        <w:rPr>
          <w:sz w:val="24"/>
          <w:szCs w:val="24"/>
        </w:rPr>
      </w:pPr>
      <w:r w:rsidRPr="00E26BA7">
        <w:rPr>
          <w:sz w:val="24"/>
          <w:szCs w:val="24"/>
        </w:rPr>
        <w:t xml:space="preserve">Najważniejszym czynnikiem przy ocenie dochowania należytej staranności jest zmiana — bez ekonomicznego uzasadnienia - dotychczasowych zasad współpracy między podatnikiem, a jego kontrahentem. </w:t>
      </w:r>
      <w:r w:rsidRPr="00E26BA7">
        <w:rPr>
          <w:sz w:val="24"/>
          <w:szCs w:val="24"/>
          <w:u w:val="single"/>
        </w:rPr>
        <w:t>Jako okoliczności, które wskazują na możliwość braku dochowania należytej staranności wskazać należy w szczególności:</w:t>
      </w:r>
    </w:p>
    <w:p w14:paraId="360A65D2" w14:textId="77777777" w:rsidR="0059477D" w:rsidRPr="00E26BA7" w:rsidRDefault="00BD564A" w:rsidP="0059477D">
      <w:pPr>
        <w:pStyle w:val="Teksttreci0"/>
        <w:numPr>
          <w:ilvl w:val="0"/>
          <w:numId w:val="5"/>
        </w:numPr>
        <w:shd w:val="clear" w:color="auto" w:fill="auto"/>
        <w:spacing w:line="396" w:lineRule="auto"/>
        <w:rPr>
          <w:sz w:val="24"/>
          <w:szCs w:val="24"/>
        </w:rPr>
      </w:pPr>
      <w:r w:rsidRPr="00E26BA7">
        <w:rPr>
          <w:sz w:val="24"/>
          <w:szCs w:val="24"/>
        </w:rPr>
        <w:t>zawarcie transakcji bez ryzyka gospodarczego;</w:t>
      </w:r>
    </w:p>
    <w:p w14:paraId="47F0FBC9" w14:textId="77777777" w:rsidR="0059477D" w:rsidRPr="00E26BA7" w:rsidRDefault="00BD564A" w:rsidP="0059477D">
      <w:pPr>
        <w:pStyle w:val="Teksttreci0"/>
        <w:numPr>
          <w:ilvl w:val="0"/>
          <w:numId w:val="5"/>
        </w:numPr>
        <w:shd w:val="clear" w:color="auto" w:fill="auto"/>
        <w:spacing w:line="396" w:lineRule="auto"/>
        <w:rPr>
          <w:sz w:val="24"/>
          <w:szCs w:val="24"/>
        </w:rPr>
      </w:pPr>
      <w:r w:rsidRPr="00E26BA7">
        <w:rPr>
          <w:sz w:val="24"/>
          <w:szCs w:val="24"/>
        </w:rPr>
        <w:t>płatność gotówką albo obniżenie ceny w razie płatności gotówką - w p</w:t>
      </w:r>
      <w:r w:rsidR="00D94276" w:rsidRPr="00E26BA7">
        <w:rPr>
          <w:sz w:val="24"/>
          <w:szCs w:val="24"/>
        </w:rPr>
        <w:t xml:space="preserve">rzypadku gdy wartość transakcji  </w:t>
      </w:r>
      <w:r w:rsidRPr="00E26BA7">
        <w:rPr>
          <w:sz w:val="24"/>
          <w:szCs w:val="24"/>
        </w:rPr>
        <w:t>przekracza 15 000 zł;</w:t>
      </w:r>
    </w:p>
    <w:p w14:paraId="02F82757" w14:textId="77777777" w:rsidR="0059477D" w:rsidRPr="00E26BA7" w:rsidRDefault="00BD564A" w:rsidP="0059477D">
      <w:pPr>
        <w:pStyle w:val="Teksttreci0"/>
        <w:numPr>
          <w:ilvl w:val="0"/>
          <w:numId w:val="5"/>
        </w:numPr>
        <w:shd w:val="clear" w:color="auto" w:fill="auto"/>
        <w:spacing w:line="396" w:lineRule="auto"/>
        <w:rPr>
          <w:sz w:val="24"/>
          <w:szCs w:val="24"/>
        </w:rPr>
      </w:pPr>
      <w:r w:rsidRPr="00E26BA7">
        <w:rPr>
          <w:sz w:val="24"/>
          <w:szCs w:val="24"/>
        </w:rPr>
        <w:t>zapłata za towar na dwa odrębne rachunki bankowe (nie dotyczy mechanizmu podzielonej płatności), rachunek podmiotu trzeciego lub rachunek zagraniczny;</w:t>
      </w:r>
    </w:p>
    <w:p w14:paraId="0509D581" w14:textId="77777777" w:rsidR="0059477D" w:rsidRPr="00E26BA7" w:rsidRDefault="00BD564A" w:rsidP="0059477D">
      <w:pPr>
        <w:pStyle w:val="Teksttreci0"/>
        <w:numPr>
          <w:ilvl w:val="0"/>
          <w:numId w:val="5"/>
        </w:numPr>
        <w:shd w:val="clear" w:color="auto" w:fill="auto"/>
        <w:spacing w:line="396" w:lineRule="auto"/>
        <w:rPr>
          <w:sz w:val="24"/>
          <w:szCs w:val="24"/>
        </w:rPr>
      </w:pPr>
      <w:r w:rsidRPr="00E26BA7">
        <w:rPr>
          <w:sz w:val="24"/>
          <w:szCs w:val="24"/>
        </w:rPr>
        <w:t>cena towaru znacząco odbiegała od ceny rynkowej -bez ekonomicznego uzasadnienia;</w:t>
      </w:r>
    </w:p>
    <w:p w14:paraId="65505F60" w14:textId="77777777" w:rsidR="0059477D" w:rsidRPr="00E26BA7" w:rsidRDefault="00BD564A" w:rsidP="0059477D">
      <w:pPr>
        <w:pStyle w:val="Teksttreci0"/>
        <w:numPr>
          <w:ilvl w:val="0"/>
          <w:numId w:val="5"/>
        </w:numPr>
        <w:shd w:val="clear" w:color="auto" w:fill="auto"/>
        <w:spacing w:line="396" w:lineRule="auto"/>
        <w:rPr>
          <w:sz w:val="24"/>
          <w:szCs w:val="24"/>
        </w:rPr>
      </w:pPr>
      <w:r w:rsidRPr="00E26BA7">
        <w:rPr>
          <w:sz w:val="24"/>
          <w:szCs w:val="24"/>
        </w:rPr>
        <w:t>transakcja -bez ekonomicznego uzasadnienia -dotyczyła towarów, które należały do innej branży niż ta, w której działa kontrahent i których dotychczas p</w:t>
      </w:r>
      <w:r w:rsidR="0059477D" w:rsidRPr="00E26BA7">
        <w:rPr>
          <w:sz w:val="24"/>
          <w:szCs w:val="24"/>
        </w:rPr>
        <w:t xml:space="preserve">odatnik od niego nie nabywał; </w:t>
      </w:r>
    </w:p>
    <w:p w14:paraId="5767C878" w14:textId="77777777" w:rsidR="0059477D" w:rsidRPr="00E26BA7" w:rsidRDefault="00BD564A" w:rsidP="0059477D">
      <w:pPr>
        <w:pStyle w:val="Teksttreci0"/>
        <w:numPr>
          <w:ilvl w:val="0"/>
          <w:numId w:val="5"/>
        </w:numPr>
        <w:shd w:val="clear" w:color="auto" w:fill="auto"/>
        <w:spacing w:line="396" w:lineRule="auto"/>
        <w:rPr>
          <w:sz w:val="24"/>
          <w:szCs w:val="24"/>
        </w:rPr>
      </w:pPr>
      <w:r w:rsidRPr="00E26BA7">
        <w:rPr>
          <w:sz w:val="24"/>
          <w:szCs w:val="24"/>
        </w:rPr>
        <w:t>termin płatności za towar od podatnika był krótszy niż standardowy termin płatności -bez ekonomicznego uzasadnienia;</w:t>
      </w:r>
    </w:p>
    <w:p w14:paraId="43829602" w14:textId="77777777" w:rsidR="0059477D" w:rsidRPr="00E26BA7" w:rsidRDefault="00BD564A" w:rsidP="0059477D">
      <w:pPr>
        <w:pStyle w:val="Teksttreci0"/>
        <w:numPr>
          <w:ilvl w:val="0"/>
          <w:numId w:val="5"/>
        </w:numPr>
        <w:shd w:val="clear" w:color="auto" w:fill="auto"/>
        <w:spacing w:line="396" w:lineRule="auto"/>
        <w:rPr>
          <w:sz w:val="24"/>
          <w:szCs w:val="24"/>
        </w:rPr>
      </w:pPr>
      <w:r w:rsidRPr="00E26BA7">
        <w:rPr>
          <w:sz w:val="24"/>
          <w:szCs w:val="24"/>
        </w:rPr>
        <w:t>transakcja została przeprowadzona na warunkach znacznie odbiegających od tych, które uznawane były w danej branży za gwaran</w:t>
      </w:r>
      <w:r w:rsidR="0059477D" w:rsidRPr="00E26BA7">
        <w:rPr>
          <w:sz w:val="24"/>
          <w:szCs w:val="24"/>
        </w:rPr>
        <w:t xml:space="preserve">tujące bezpieczeństwo obrotu; </w:t>
      </w:r>
    </w:p>
    <w:p w14:paraId="03C1B295" w14:textId="77777777" w:rsidR="0059477D" w:rsidRPr="00E26BA7" w:rsidRDefault="00BD564A" w:rsidP="0059477D">
      <w:pPr>
        <w:pStyle w:val="Teksttreci0"/>
        <w:numPr>
          <w:ilvl w:val="0"/>
          <w:numId w:val="5"/>
        </w:numPr>
        <w:shd w:val="clear" w:color="auto" w:fill="auto"/>
        <w:spacing w:line="396" w:lineRule="auto"/>
        <w:rPr>
          <w:sz w:val="24"/>
          <w:szCs w:val="24"/>
        </w:rPr>
      </w:pPr>
      <w:r w:rsidRPr="00E26BA7">
        <w:rPr>
          <w:sz w:val="24"/>
          <w:szCs w:val="24"/>
        </w:rPr>
        <w:t>kontrahent dostarczał towary niezgodne z wymaganiami jakościowymi określonymi w przepisach prawa powszechnie obowiązującego;</w:t>
      </w:r>
    </w:p>
    <w:p w14:paraId="38ECA82A" w14:textId="77777777" w:rsidR="005B6397" w:rsidRPr="00E26BA7" w:rsidRDefault="00BD564A" w:rsidP="0059477D">
      <w:pPr>
        <w:pStyle w:val="Teksttreci0"/>
        <w:numPr>
          <w:ilvl w:val="0"/>
          <w:numId w:val="5"/>
        </w:numPr>
        <w:shd w:val="clear" w:color="auto" w:fill="auto"/>
        <w:spacing w:line="396" w:lineRule="auto"/>
        <w:rPr>
          <w:sz w:val="24"/>
          <w:szCs w:val="24"/>
        </w:rPr>
        <w:sectPr w:rsidR="005B6397" w:rsidRPr="00E26BA7" w:rsidSect="00703D13">
          <w:footerReference w:type="even" r:id="rId8"/>
          <w:footerReference w:type="default" r:id="rId9"/>
          <w:pgSz w:w="11900" w:h="16840"/>
          <w:pgMar w:top="1241" w:right="1105" w:bottom="1234" w:left="1051" w:header="0" w:footer="3" w:gutter="0"/>
          <w:pgNumType w:start="1"/>
          <w:cols w:space="720"/>
          <w:noEndnote/>
          <w:titlePg/>
          <w:docGrid w:linePitch="360"/>
        </w:sectPr>
      </w:pPr>
      <w:r w:rsidRPr="00E26BA7">
        <w:rPr>
          <w:sz w:val="24"/>
          <w:szCs w:val="24"/>
        </w:rPr>
        <w:t>transakcja pomiędzy podatnikiem a kontrahentem nie została udokumentowana umową w formie pisemnej (w tym w formie elektronicznej) , zamówieniem lub innym potwierdzeniem warunków tej transakcji;</w:t>
      </w:r>
    </w:p>
    <w:p w14:paraId="69FC2946" w14:textId="77777777" w:rsidR="005B6397" w:rsidRPr="00E26BA7" w:rsidRDefault="00BD564A" w:rsidP="00906452">
      <w:pPr>
        <w:pStyle w:val="Teksttreci0"/>
        <w:numPr>
          <w:ilvl w:val="0"/>
          <w:numId w:val="5"/>
        </w:numPr>
        <w:shd w:val="clear" w:color="auto" w:fill="auto"/>
        <w:spacing w:after="4400" w:line="396" w:lineRule="auto"/>
        <w:rPr>
          <w:sz w:val="24"/>
          <w:szCs w:val="24"/>
        </w:rPr>
      </w:pPr>
      <w:r w:rsidRPr="00E26BA7">
        <w:rPr>
          <w:iCs/>
          <w:sz w:val="24"/>
          <w:szCs w:val="24"/>
        </w:rPr>
        <w:t>w</w:t>
      </w:r>
      <w:r w:rsidRPr="00E26BA7">
        <w:rPr>
          <w:sz w:val="24"/>
          <w:szCs w:val="24"/>
        </w:rPr>
        <w:t xml:space="preserve"> dotychczasowych transakcjach kontrahent bez uzasadnienia zmienił sposób transportu towaru (np. towar miał być dostarczony z Polski, a jest przewo</w:t>
      </w:r>
      <w:r w:rsidR="0059477D" w:rsidRPr="00E26BA7">
        <w:rPr>
          <w:sz w:val="24"/>
          <w:szCs w:val="24"/>
        </w:rPr>
        <w:t>żony z terytorium innego państwa.</w:t>
      </w:r>
    </w:p>
    <w:sectPr w:rsidR="005B6397" w:rsidRPr="00E26BA7">
      <w:footerReference w:type="even" r:id="rId10"/>
      <w:footerReference w:type="default" r:id="rId11"/>
      <w:type w:val="continuous"/>
      <w:pgSz w:w="11900" w:h="16840"/>
      <w:pgMar w:top="1241" w:right="1105" w:bottom="1234" w:left="1051" w:header="81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F8595" w14:textId="77777777" w:rsidR="00DF319B" w:rsidRDefault="00DF319B">
      <w:r>
        <w:separator/>
      </w:r>
    </w:p>
  </w:endnote>
  <w:endnote w:type="continuationSeparator" w:id="0">
    <w:p w14:paraId="1C16A7E7" w14:textId="77777777" w:rsidR="00DF319B" w:rsidRDefault="00DF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TimesNewRomanPSMT">
    <w:altName w:val="Times New Roman"/>
    <w:charset w:val="EE"/>
    <w:family w:val="auto"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083078"/>
      <w:docPartObj>
        <w:docPartGallery w:val="Page Numbers (Bottom of Page)"/>
        <w:docPartUnique/>
      </w:docPartObj>
    </w:sdtPr>
    <w:sdtContent>
      <w:p w14:paraId="2486F9C6" w14:textId="6365B208" w:rsidR="00703D13" w:rsidRDefault="00703D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15">
          <w:rPr>
            <w:noProof/>
          </w:rPr>
          <w:t>4</w:t>
        </w:r>
        <w:r>
          <w:fldChar w:fldCharType="end"/>
        </w:r>
      </w:p>
    </w:sdtContent>
  </w:sdt>
  <w:p w14:paraId="600E795A" w14:textId="1DEE2F67" w:rsidR="005B6397" w:rsidRDefault="005B6397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743905"/>
      <w:docPartObj>
        <w:docPartGallery w:val="Page Numbers (Bottom of Page)"/>
        <w:docPartUnique/>
      </w:docPartObj>
    </w:sdtPr>
    <w:sdtContent>
      <w:p w14:paraId="65B7C05A" w14:textId="25AF9296" w:rsidR="00703D13" w:rsidRDefault="00703D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15">
          <w:rPr>
            <w:noProof/>
          </w:rPr>
          <w:t>3</w:t>
        </w:r>
        <w:r>
          <w:fldChar w:fldCharType="end"/>
        </w:r>
      </w:p>
    </w:sdtContent>
  </w:sdt>
  <w:p w14:paraId="3DB59D9D" w14:textId="0FB96DEE" w:rsidR="005B6397" w:rsidRDefault="005B6397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352B" w14:textId="77777777" w:rsidR="005B6397" w:rsidRDefault="005B6397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A95" w14:textId="77777777" w:rsidR="005B6397" w:rsidRDefault="00BD56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05592E8" wp14:editId="2DF19D7B">
              <wp:simplePos x="0" y="0"/>
              <wp:positionH relativeFrom="page">
                <wp:posOffset>6251575</wp:posOffset>
              </wp:positionH>
              <wp:positionV relativeFrom="page">
                <wp:posOffset>9976485</wp:posOffset>
              </wp:positionV>
              <wp:extent cx="350520" cy="1130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440FD" w14:textId="77777777" w:rsidR="005B6397" w:rsidRDefault="00BD564A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24"/>
                              <w:szCs w:val="24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0072" w:rsidRPr="00D20072">
                            <w:rPr>
                              <w:rFonts w:ascii="Arial Unicode MS" w:eastAsia="Arial Unicode MS" w:hAnsi="Arial Unicode MS" w:cs="Arial Unicode MS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592E8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492.25pt;margin-top:785.55pt;width:27.6pt;height:8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" filled="f" stroked="f">
              <v:textbox style="mso-fit-shape-to-text:t" inset="0,0,0,0">
                <w:txbxContent>
                  <w:p w14:paraId="58E440FD" w14:textId="77777777" w:rsidR="005B6397" w:rsidRDefault="00BD564A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0072" w:rsidRPr="00D20072">
                      <w:rPr>
                        <w:rFonts w:ascii="Arial Unicode MS" w:eastAsia="Arial Unicode MS" w:hAnsi="Arial Unicode MS" w:cs="Arial Unicode MS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87459" w14:textId="77777777" w:rsidR="00DF319B" w:rsidRDefault="00DF319B"/>
  </w:footnote>
  <w:footnote w:type="continuationSeparator" w:id="0">
    <w:p w14:paraId="2F659483" w14:textId="77777777" w:rsidR="00DF319B" w:rsidRDefault="00DF31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646"/>
    <w:multiLevelType w:val="hybridMultilevel"/>
    <w:tmpl w:val="537AE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018E"/>
    <w:multiLevelType w:val="hybridMultilevel"/>
    <w:tmpl w:val="9DDEF438"/>
    <w:name w:val="WW8Num512"/>
    <w:lvl w:ilvl="0" w:tplc="11FAF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0060"/>
    <w:multiLevelType w:val="hybridMultilevel"/>
    <w:tmpl w:val="BAB2E03E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51851D6D"/>
    <w:multiLevelType w:val="hybridMultilevel"/>
    <w:tmpl w:val="C5423258"/>
    <w:lvl w:ilvl="0" w:tplc="185022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2CAE"/>
    <w:multiLevelType w:val="multilevel"/>
    <w:tmpl w:val="A4745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97"/>
    <w:rsid w:val="00065BB2"/>
    <w:rsid w:val="00070642"/>
    <w:rsid w:val="000F0AF4"/>
    <w:rsid w:val="00176728"/>
    <w:rsid w:val="001936BA"/>
    <w:rsid w:val="0020460D"/>
    <w:rsid w:val="002A0319"/>
    <w:rsid w:val="00315717"/>
    <w:rsid w:val="00372F4A"/>
    <w:rsid w:val="003C7357"/>
    <w:rsid w:val="00473688"/>
    <w:rsid w:val="004E398D"/>
    <w:rsid w:val="00527A20"/>
    <w:rsid w:val="0059477D"/>
    <w:rsid w:val="005B6397"/>
    <w:rsid w:val="005C4690"/>
    <w:rsid w:val="00671B15"/>
    <w:rsid w:val="006C141C"/>
    <w:rsid w:val="00703D13"/>
    <w:rsid w:val="00737B7D"/>
    <w:rsid w:val="007B12AD"/>
    <w:rsid w:val="007E218F"/>
    <w:rsid w:val="008052B1"/>
    <w:rsid w:val="0085474F"/>
    <w:rsid w:val="008B7149"/>
    <w:rsid w:val="008C2857"/>
    <w:rsid w:val="008F28A2"/>
    <w:rsid w:val="009010E4"/>
    <w:rsid w:val="00906452"/>
    <w:rsid w:val="00933538"/>
    <w:rsid w:val="00951E74"/>
    <w:rsid w:val="00A62AD8"/>
    <w:rsid w:val="00AC75E7"/>
    <w:rsid w:val="00AF3187"/>
    <w:rsid w:val="00AF5638"/>
    <w:rsid w:val="00B85722"/>
    <w:rsid w:val="00BD564A"/>
    <w:rsid w:val="00C831E1"/>
    <w:rsid w:val="00CD68FE"/>
    <w:rsid w:val="00D20072"/>
    <w:rsid w:val="00D70680"/>
    <w:rsid w:val="00D94276"/>
    <w:rsid w:val="00DF319B"/>
    <w:rsid w:val="00E26BA7"/>
    <w:rsid w:val="00EA3903"/>
    <w:rsid w:val="00FA2937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9684D"/>
  <w15:docId w15:val="{CEAA90B1-3D3C-43A6-89B3-6D76B4D4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D8364E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D8364E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9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640"/>
      <w:ind w:left="4980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ind w:left="20"/>
      <w:jc w:val="center"/>
    </w:pPr>
    <w:rPr>
      <w:rFonts w:ascii="Bookman Old Style" w:eastAsia="Bookman Old Style" w:hAnsi="Bookman Old Style" w:cs="Bookman Old Style"/>
      <w:b/>
      <w:bCs/>
      <w:color w:val="D8364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80" w:lineRule="auto"/>
      <w:ind w:left="20"/>
      <w:jc w:val="center"/>
    </w:pPr>
    <w:rPr>
      <w:rFonts w:ascii="Arial" w:eastAsia="Arial" w:hAnsi="Arial" w:cs="Arial"/>
      <w:color w:val="D8364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0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7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0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7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E1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D94276"/>
    <w:pPr>
      <w:widowControl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85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857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A2937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E7AA-CEC9-48E8-9449-A3D670B5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Kołdon</dc:creator>
  <cp:lastModifiedBy>Beata Kołdon</cp:lastModifiedBy>
  <cp:revision>8</cp:revision>
  <cp:lastPrinted>2018-06-26T12:18:00Z</cp:lastPrinted>
  <dcterms:created xsi:type="dcterms:W3CDTF">2018-06-26T07:28:00Z</dcterms:created>
  <dcterms:modified xsi:type="dcterms:W3CDTF">2018-06-26T12:48:00Z</dcterms:modified>
</cp:coreProperties>
</file>