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30E511" w14:textId="352A0B0F" w:rsidR="00655008" w:rsidRDefault="007757AB" w:rsidP="00655008">
      <w:pPr>
        <w:jc w:val="center"/>
        <w:rPr>
          <w:b/>
          <w:caps/>
          <w:sz w:val="28"/>
          <w:szCs w:val="28"/>
        </w:rPr>
      </w:pPr>
      <w:r>
        <w:rPr>
          <w:b/>
          <w:caps/>
          <w:sz w:val="28"/>
          <w:szCs w:val="28"/>
        </w:rPr>
        <w:t xml:space="preserve">Zarządzenie Nr </w:t>
      </w:r>
      <w:r w:rsidR="00F16838">
        <w:rPr>
          <w:b/>
          <w:caps/>
          <w:sz w:val="28"/>
          <w:szCs w:val="28"/>
        </w:rPr>
        <w:t>21</w:t>
      </w:r>
      <w:r w:rsidR="0000596E">
        <w:rPr>
          <w:b/>
          <w:caps/>
          <w:sz w:val="28"/>
          <w:szCs w:val="28"/>
        </w:rPr>
        <w:t>/201</w:t>
      </w:r>
      <w:r w:rsidR="00FA3785">
        <w:rPr>
          <w:b/>
          <w:caps/>
          <w:sz w:val="28"/>
          <w:szCs w:val="28"/>
        </w:rPr>
        <w:t>9</w:t>
      </w:r>
      <w:r w:rsidR="00655008">
        <w:rPr>
          <w:b/>
          <w:caps/>
          <w:sz w:val="28"/>
          <w:szCs w:val="28"/>
        </w:rPr>
        <w:br/>
        <w:t xml:space="preserve">Dyrektora Instytucji Pośredniczącej </w:t>
      </w:r>
    </w:p>
    <w:p w14:paraId="08D09BD0" w14:textId="77777777" w:rsidR="00655008" w:rsidRDefault="00655008" w:rsidP="00655008">
      <w:pPr>
        <w:jc w:val="center"/>
        <w:rPr>
          <w:b/>
          <w:caps/>
          <w:sz w:val="28"/>
          <w:szCs w:val="28"/>
        </w:rPr>
      </w:pPr>
      <w:r>
        <w:rPr>
          <w:b/>
          <w:caps/>
          <w:sz w:val="28"/>
          <w:szCs w:val="28"/>
        </w:rPr>
        <w:t>Aglomeracji Wałbrzyskiej</w:t>
      </w:r>
    </w:p>
    <w:p w14:paraId="45F63DD9" w14:textId="6E0971D2" w:rsidR="00655008" w:rsidRDefault="00F16838" w:rsidP="00655008">
      <w:pPr>
        <w:jc w:val="center"/>
        <w:rPr>
          <w:b/>
          <w:bCs/>
          <w:sz w:val="28"/>
          <w:szCs w:val="28"/>
        </w:rPr>
      </w:pPr>
      <w:r>
        <w:rPr>
          <w:b/>
          <w:bCs/>
          <w:sz w:val="28"/>
          <w:szCs w:val="28"/>
        </w:rPr>
        <w:t>z dnia 18 listopada 2019</w:t>
      </w:r>
      <w:r w:rsidR="00655008">
        <w:rPr>
          <w:b/>
          <w:bCs/>
          <w:sz w:val="28"/>
          <w:szCs w:val="28"/>
        </w:rPr>
        <w:t xml:space="preserve"> roku</w:t>
      </w:r>
    </w:p>
    <w:p w14:paraId="12AF8C05" w14:textId="77777777" w:rsidR="00655008" w:rsidRDefault="00655008" w:rsidP="00655008">
      <w:pPr>
        <w:jc w:val="center"/>
        <w:rPr>
          <w:sz w:val="24"/>
          <w:szCs w:val="24"/>
        </w:rPr>
      </w:pPr>
    </w:p>
    <w:p w14:paraId="739B5BA7" w14:textId="77777777" w:rsidR="00655008" w:rsidRDefault="00655008" w:rsidP="00655008">
      <w:pPr>
        <w:jc w:val="center"/>
        <w:rPr>
          <w:sz w:val="24"/>
          <w:szCs w:val="24"/>
        </w:rPr>
      </w:pPr>
    </w:p>
    <w:p w14:paraId="2A180C95" w14:textId="77777777"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14:paraId="77A76DCB" w14:textId="77777777" w:rsidR="00655008" w:rsidRDefault="00655008" w:rsidP="00655008">
      <w:pPr>
        <w:keepLines/>
        <w:jc w:val="both"/>
        <w:rPr>
          <w:sz w:val="24"/>
          <w:szCs w:val="24"/>
        </w:rPr>
      </w:pPr>
    </w:p>
    <w:p w14:paraId="6D2BF164" w14:textId="77777777" w:rsidR="00655008" w:rsidRDefault="00655008" w:rsidP="00655008">
      <w:pPr>
        <w:jc w:val="both"/>
        <w:rPr>
          <w:sz w:val="24"/>
          <w:szCs w:val="24"/>
        </w:rPr>
      </w:pPr>
    </w:p>
    <w:p w14:paraId="49D871DA" w14:textId="061D1BAF" w:rsidR="00655008" w:rsidRDefault="00655008" w:rsidP="00655008">
      <w:pPr>
        <w:jc w:val="both"/>
        <w:rPr>
          <w:sz w:val="24"/>
          <w:szCs w:val="24"/>
        </w:rPr>
      </w:pPr>
      <w:r>
        <w:rPr>
          <w:color w:val="000000"/>
          <w:sz w:val="24"/>
          <w:szCs w:val="24"/>
        </w:rPr>
        <w:t xml:space="preserve">Na podstawie § 7 ust. </w:t>
      </w:r>
      <w:r w:rsidR="00BC650F">
        <w:rPr>
          <w:color w:val="000000"/>
          <w:sz w:val="24"/>
          <w:szCs w:val="24"/>
        </w:rPr>
        <w:t>4</w:t>
      </w:r>
      <w:r>
        <w:rPr>
          <w:color w:val="000000"/>
          <w:sz w:val="24"/>
          <w:szCs w:val="24"/>
        </w:rPr>
        <w:t xml:space="preserve">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201</w:t>
      </w:r>
      <w:r w:rsidR="004768C7">
        <w:rPr>
          <w:sz w:val="24"/>
          <w:szCs w:val="24"/>
        </w:rPr>
        <w:t>9</w:t>
      </w:r>
      <w:r>
        <w:rPr>
          <w:sz w:val="24"/>
          <w:szCs w:val="24"/>
        </w:rPr>
        <w:t xml:space="preserve"> r. poz. </w:t>
      </w:r>
      <w:r w:rsidR="004768C7">
        <w:rPr>
          <w:sz w:val="24"/>
          <w:szCs w:val="24"/>
        </w:rPr>
        <w:t>351</w:t>
      </w:r>
      <w:r>
        <w:rPr>
          <w:sz w:val="24"/>
          <w:szCs w:val="24"/>
        </w:rPr>
        <w:t>), art. 40 ust. 1 ustawy 2 dnia 27 sierpnia 2009 r. o finansach publicznych (tekst jedn. Dz.U. z 201</w:t>
      </w:r>
      <w:r w:rsidR="004768C7">
        <w:rPr>
          <w:sz w:val="24"/>
          <w:szCs w:val="24"/>
        </w:rPr>
        <w:t>9</w:t>
      </w:r>
      <w:r>
        <w:rPr>
          <w:sz w:val="24"/>
          <w:szCs w:val="24"/>
        </w:rPr>
        <w:t xml:space="preserve"> r. poz. </w:t>
      </w:r>
      <w:r w:rsidR="004768C7">
        <w:rPr>
          <w:sz w:val="24"/>
          <w:szCs w:val="24"/>
        </w:rPr>
        <w:t>869</w:t>
      </w:r>
      <w:r w:rsidR="00951673">
        <w:rPr>
          <w:sz w:val="24"/>
          <w:szCs w:val="24"/>
        </w:rPr>
        <w:t xml:space="preserve"> z </w:t>
      </w:r>
      <w:proofErr w:type="spellStart"/>
      <w:r w:rsidR="00951673">
        <w:rPr>
          <w:sz w:val="24"/>
          <w:szCs w:val="24"/>
        </w:rPr>
        <w:t>późn</w:t>
      </w:r>
      <w:proofErr w:type="spellEnd"/>
      <w:r w:rsidR="00951673">
        <w:rPr>
          <w:sz w:val="24"/>
          <w:szCs w:val="24"/>
        </w:rPr>
        <w:t xml:space="preserve">. </w:t>
      </w:r>
      <w:proofErr w:type="spellStart"/>
      <w:r w:rsidR="00951673">
        <w:rPr>
          <w:sz w:val="24"/>
          <w:szCs w:val="24"/>
        </w:rPr>
        <w:t>zm</w:t>
      </w:r>
      <w:proofErr w:type="spellEnd"/>
      <w:r w:rsidR="00DD6649">
        <w:rPr>
          <w:sz w:val="24"/>
          <w:szCs w:val="24"/>
        </w:rPr>
        <w:t xml:space="preserve"> </w:t>
      </w:r>
      <w:r>
        <w:rPr>
          <w:sz w:val="24"/>
          <w:szCs w:val="24"/>
        </w:rPr>
        <w:t xml:space="preserve">oraz </w:t>
      </w:r>
      <w:r>
        <w:rPr>
          <w:color w:val="000000"/>
          <w:sz w:val="24"/>
          <w:szCs w:val="24"/>
        </w:rPr>
        <w:t xml:space="preserve">rozporządzenia Ministra </w:t>
      </w:r>
      <w:r w:rsidR="00A340F5">
        <w:rPr>
          <w:color w:val="000000"/>
          <w:sz w:val="24"/>
          <w:szCs w:val="24"/>
        </w:rPr>
        <w:t xml:space="preserve">Rozwoju i </w:t>
      </w:r>
      <w:r>
        <w:rPr>
          <w:color w:val="000000"/>
          <w:sz w:val="24"/>
          <w:szCs w:val="24"/>
        </w:rPr>
        <w:t xml:space="preserve">Finansów z dnia </w:t>
      </w:r>
      <w:r w:rsidR="00A340F5">
        <w:rPr>
          <w:color w:val="000000"/>
          <w:sz w:val="24"/>
          <w:szCs w:val="24"/>
        </w:rPr>
        <w:t>13</w:t>
      </w:r>
      <w:r>
        <w:rPr>
          <w:color w:val="000000"/>
          <w:sz w:val="24"/>
          <w:szCs w:val="24"/>
        </w:rPr>
        <w:t>.0</w:t>
      </w:r>
      <w:r w:rsidR="00A340F5">
        <w:rPr>
          <w:color w:val="000000"/>
          <w:sz w:val="24"/>
          <w:szCs w:val="24"/>
        </w:rPr>
        <w:t>9</w:t>
      </w:r>
      <w:r>
        <w:rPr>
          <w:color w:val="000000"/>
          <w:sz w:val="24"/>
          <w:szCs w:val="24"/>
        </w:rPr>
        <w:t>.201</w:t>
      </w:r>
      <w:r w:rsidR="00A340F5">
        <w:rPr>
          <w:color w:val="000000"/>
          <w:sz w:val="24"/>
          <w:szCs w:val="24"/>
        </w:rPr>
        <w:t>7</w:t>
      </w:r>
      <w:r>
        <w:rPr>
          <w:color w:val="000000"/>
          <w:sz w:val="24"/>
          <w:szCs w:val="24"/>
        </w:rPr>
        <w:t xml:space="preserve"> r. w sprawie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201</w:t>
      </w:r>
      <w:r w:rsidR="00DD3AB0">
        <w:rPr>
          <w:color w:val="000000"/>
          <w:sz w:val="24"/>
          <w:szCs w:val="24"/>
        </w:rPr>
        <w:t>7</w:t>
      </w:r>
      <w:r>
        <w:rPr>
          <w:color w:val="000000"/>
          <w:sz w:val="24"/>
          <w:szCs w:val="24"/>
        </w:rPr>
        <w:t xml:space="preserve"> r. poz. </w:t>
      </w:r>
      <w:r w:rsidR="00A340F5">
        <w:rPr>
          <w:color w:val="000000"/>
          <w:sz w:val="24"/>
          <w:szCs w:val="24"/>
        </w:rPr>
        <w:t>1911</w:t>
      </w:r>
      <w:r w:rsidR="00951673">
        <w:rPr>
          <w:color w:val="000000"/>
          <w:sz w:val="24"/>
          <w:szCs w:val="24"/>
        </w:rPr>
        <w:t xml:space="preserve"> z </w:t>
      </w:r>
      <w:proofErr w:type="spellStart"/>
      <w:r w:rsidR="00951673">
        <w:rPr>
          <w:color w:val="000000"/>
          <w:sz w:val="24"/>
          <w:szCs w:val="24"/>
        </w:rPr>
        <w:t>późn</w:t>
      </w:r>
      <w:proofErr w:type="spellEnd"/>
      <w:r w:rsidR="00951673">
        <w:rPr>
          <w:color w:val="000000"/>
          <w:sz w:val="24"/>
          <w:szCs w:val="24"/>
        </w:rPr>
        <w:t>. zm.</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14:paraId="0F94A106" w14:textId="77777777" w:rsidR="00655008" w:rsidRDefault="00655008" w:rsidP="00655008">
      <w:pPr>
        <w:jc w:val="center"/>
        <w:rPr>
          <w:sz w:val="24"/>
          <w:szCs w:val="24"/>
        </w:rPr>
      </w:pPr>
    </w:p>
    <w:p w14:paraId="53F21B13" w14:textId="77777777" w:rsidR="00655008" w:rsidRDefault="00655008" w:rsidP="00655008">
      <w:pPr>
        <w:pStyle w:val="Normalny1"/>
        <w:jc w:val="center"/>
        <w:rPr>
          <w:b/>
        </w:rPr>
      </w:pPr>
      <w:r>
        <w:rPr>
          <w:b/>
        </w:rPr>
        <w:t>§ 1</w:t>
      </w:r>
    </w:p>
    <w:p w14:paraId="0A059514" w14:textId="77777777" w:rsidR="00655008" w:rsidRPr="00F93640" w:rsidRDefault="00655008" w:rsidP="00655008">
      <w:pPr>
        <w:pStyle w:val="Akapitzlist10"/>
        <w:tabs>
          <w:tab w:val="left" w:pos="708"/>
        </w:tabs>
        <w:ind w:left="0"/>
        <w:jc w:val="both"/>
      </w:pPr>
    </w:p>
    <w:p w14:paraId="281E9E9B" w14:textId="39B771FB" w:rsidR="00E75521" w:rsidRPr="00F93640" w:rsidRDefault="0069261D" w:rsidP="0069261D">
      <w:pPr>
        <w:jc w:val="both"/>
        <w:rPr>
          <w:bCs/>
          <w:sz w:val="24"/>
          <w:szCs w:val="24"/>
        </w:rPr>
      </w:pPr>
      <w:r w:rsidRPr="00F93640">
        <w:rPr>
          <w:sz w:val="24"/>
          <w:szCs w:val="24"/>
        </w:rPr>
        <w:t>W z</w:t>
      </w:r>
      <w:r w:rsidR="00655008" w:rsidRPr="00F93640">
        <w:rPr>
          <w:sz w:val="24"/>
          <w:szCs w:val="24"/>
        </w:rPr>
        <w:t>ałącznik</w:t>
      </w:r>
      <w:r w:rsidRPr="00F93640">
        <w:rPr>
          <w:sz w:val="24"/>
          <w:szCs w:val="24"/>
        </w:rPr>
        <w:t>u</w:t>
      </w:r>
      <w:r w:rsidR="00655008" w:rsidRPr="00F93640">
        <w:rPr>
          <w:sz w:val="24"/>
          <w:szCs w:val="24"/>
        </w:rPr>
        <w:t xml:space="preserve"> nr </w:t>
      </w:r>
      <w:r w:rsidR="00E42390">
        <w:rPr>
          <w:sz w:val="24"/>
          <w:szCs w:val="24"/>
        </w:rPr>
        <w:t>2</w:t>
      </w:r>
      <w:r w:rsidR="00655008" w:rsidRPr="00F93640">
        <w:rPr>
          <w:sz w:val="24"/>
          <w:szCs w:val="24"/>
        </w:rPr>
        <w:t xml:space="preserve"> </w:t>
      </w:r>
      <w:r w:rsidRPr="00F93640">
        <w:rPr>
          <w:sz w:val="24"/>
          <w:szCs w:val="24"/>
        </w:rPr>
        <w:t xml:space="preserve">do Zarządzenia nr 7/2015 Dyrektora Instytucji Pośredniczącej Aglomeracji Wałbrzyskiej z dnia 02 marca 2015 r. w </w:t>
      </w:r>
      <w:r w:rsidRPr="00F93640">
        <w:rPr>
          <w:bCs/>
          <w:sz w:val="24"/>
          <w:szCs w:val="24"/>
        </w:rPr>
        <w:t>sprawie wprowadzenia Zasad (polityki) rachunkowości obowiązującej w Instytucji Pośredniczącej Aglomeracji Wałbrzyskiej wprowadza się następujące zmiany:</w:t>
      </w:r>
    </w:p>
    <w:p w14:paraId="6AA968D8" w14:textId="2BA15FB8" w:rsidR="00091CC9" w:rsidRDefault="00E75521" w:rsidP="00145137">
      <w:pPr>
        <w:pStyle w:val="Akapitzlist"/>
        <w:numPr>
          <w:ilvl w:val="0"/>
          <w:numId w:val="3"/>
        </w:numPr>
        <w:jc w:val="both"/>
        <w:rPr>
          <w:bCs/>
          <w:sz w:val="24"/>
          <w:szCs w:val="24"/>
        </w:rPr>
      </w:pPr>
      <w:r>
        <w:rPr>
          <w:bCs/>
          <w:sz w:val="24"/>
          <w:szCs w:val="24"/>
        </w:rPr>
        <w:t xml:space="preserve">W rozdziale </w:t>
      </w:r>
      <w:r w:rsidRPr="00E75521">
        <w:rPr>
          <w:bCs/>
          <w:sz w:val="24"/>
          <w:szCs w:val="24"/>
        </w:rPr>
        <w:t>IX</w:t>
      </w:r>
      <w:r w:rsidR="0069261D" w:rsidRPr="00E15E94">
        <w:rPr>
          <w:bCs/>
          <w:sz w:val="24"/>
          <w:szCs w:val="24"/>
        </w:rPr>
        <w:t xml:space="preserve"> § </w:t>
      </w:r>
      <w:r w:rsidR="00E42390">
        <w:rPr>
          <w:bCs/>
          <w:sz w:val="24"/>
          <w:szCs w:val="24"/>
        </w:rPr>
        <w:t>1</w:t>
      </w:r>
      <w:r>
        <w:rPr>
          <w:bCs/>
          <w:sz w:val="24"/>
          <w:szCs w:val="24"/>
        </w:rPr>
        <w:t>2</w:t>
      </w:r>
      <w:r w:rsidR="0069261D" w:rsidRPr="00E15E94">
        <w:rPr>
          <w:bCs/>
          <w:sz w:val="24"/>
          <w:szCs w:val="24"/>
        </w:rPr>
        <w:t xml:space="preserve"> </w:t>
      </w:r>
      <w:r w:rsidR="00E42390">
        <w:rPr>
          <w:bCs/>
          <w:sz w:val="24"/>
          <w:szCs w:val="24"/>
        </w:rPr>
        <w:t>dodaje się ust.</w:t>
      </w:r>
      <w:r w:rsidR="00E91C02">
        <w:rPr>
          <w:bCs/>
          <w:sz w:val="24"/>
          <w:szCs w:val="24"/>
        </w:rPr>
        <w:t xml:space="preserve"> od </w:t>
      </w:r>
      <w:r w:rsidR="008B3409">
        <w:rPr>
          <w:bCs/>
          <w:sz w:val="24"/>
          <w:szCs w:val="24"/>
        </w:rPr>
        <w:t>14</w:t>
      </w:r>
      <w:r w:rsidR="00E91C02">
        <w:rPr>
          <w:bCs/>
          <w:sz w:val="24"/>
          <w:szCs w:val="24"/>
        </w:rPr>
        <w:t xml:space="preserve"> do 1</w:t>
      </w:r>
      <w:r w:rsidR="008B3409">
        <w:rPr>
          <w:bCs/>
          <w:sz w:val="24"/>
          <w:szCs w:val="24"/>
        </w:rPr>
        <w:t>9</w:t>
      </w:r>
      <w:r w:rsidR="00E42390">
        <w:rPr>
          <w:bCs/>
          <w:sz w:val="24"/>
          <w:szCs w:val="24"/>
        </w:rPr>
        <w:t>, któr</w:t>
      </w:r>
      <w:r w:rsidR="00E91C02">
        <w:rPr>
          <w:bCs/>
          <w:sz w:val="24"/>
          <w:szCs w:val="24"/>
        </w:rPr>
        <w:t>e</w:t>
      </w:r>
      <w:r w:rsidR="00E42390">
        <w:rPr>
          <w:bCs/>
          <w:sz w:val="24"/>
          <w:szCs w:val="24"/>
        </w:rPr>
        <w:t xml:space="preserve"> </w:t>
      </w:r>
      <w:r w:rsidR="0069261D" w:rsidRPr="00E15E94">
        <w:rPr>
          <w:bCs/>
          <w:sz w:val="24"/>
          <w:szCs w:val="24"/>
        </w:rPr>
        <w:t>otrzymuj</w:t>
      </w:r>
      <w:r w:rsidR="00E91C02">
        <w:rPr>
          <w:bCs/>
          <w:sz w:val="24"/>
          <w:szCs w:val="24"/>
        </w:rPr>
        <w:t>ą</w:t>
      </w:r>
      <w:r w:rsidR="0069261D" w:rsidRPr="00E15E94">
        <w:rPr>
          <w:bCs/>
          <w:sz w:val="24"/>
          <w:szCs w:val="24"/>
        </w:rPr>
        <w:t xml:space="preserve"> brzmienie:</w:t>
      </w:r>
    </w:p>
    <w:p w14:paraId="4334C584" w14:textId="38EC62E0" w:rsidR="00A40771" w:rsidRPr="00A40771" w:rsidRDefault="00EE0ED5" w:rsidP="00EE0ED5">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w:t>
      </w:r>
      <w:r w:rsidR="008B3409">
        <w:rPr>
          <w:rFonts w:eastAsiaTheme="minorHAnsi"/>
          <w:sz w:val="24"/>
          <w:szCs w:val="24"/>
          <w:lang w:eastAsia="en-US"/>
        </w:rPr>
        <w:t>14</w:t>
      </w:r>
      <w:r w:rsidR="00A40771" w:rsidRPr="00A40771">
        <w:rPr>
          <w:rFonts w:eastAsiaTheme="minorHAnsi"/>
          <w:sz w:val="24"/>
          <w:szCs w:val="24"/>
          <w:lang w:eastAsia="en-US"/>
        </w:rPr>
        <w:t>. Z tytułu podróży służbowej zagranicznej odbywanej w terminie i miejscu określonym przez</w:t>
      </w:r>
      <w:r>
        <w:rPr>
          <w:rFonts w:eastAsiaTheme="minorHAnsi"/>
          <w:sz w:val="24"/>
          <w:szCs w:val="24"/>
          <w:lang w:eastAsia="en-US"/>
        </w:rPr>
        <w:t xml:space="preserve"> </w:t>
      </w:r>
      <w:r w:rsidR="00A40771" w:rsidRPr="00A40771">
        <w:rPr>
          <w:rFonts w:eastAsiaTheme="minorHAnsi"/>
          <w:sz w:val="24"/>
          <w:szCs w:val="24"/>
          <w:lang w:eastAsia="en-US"/>
        </w:rPr>
        <w:t>pracodawcę przysługują diety w wysokości obowiązującej dla docelowego państwa, oraz</w:t>
      </w:r>
      <w:r>
        <w:rPr>
          <w:rFonts w:eastAsiaTheme="minorHAnsi"/>
          <w:sz w:val="24"/>
          <w:szCs w:val="24"/>
          <w:lang w:eastAsia="en-US"/>
        </w:rPr>
        <w:t xml:space="preserve"> </w:t>
      </w:r>
      <w:r w:rsidR="00A40771" w:rsidRPr="00A40771">
        <w:rPr>
          <w:rFonts w:eastAsiaTheme="minorHAnsi"/>
          <w:sz w:val="24"/>
          <w:szCs w:val="24"/>
          <w:lang w:eastAsia="en-US"/>
        </w:rPr>
        <w:t>zwrot kosztów:</w:t>
      </w:r>
    </w:p>
    <w:p w14:paraId="5A8A3676" w14:textId="77777777" w:rsidR="00A40771" w:rsidRPr="00A40771" w:rsidRDefault="00A40771" w:rsidP="00EE0ED5">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1) przejazdów, dojazdów,</w:t>
      </w:r>
    </w:p>
    <w:p w14:paraId="03584116" w14:textId="77777777" w:rsidR="00A40771" w:rsidRPr="00A40771" w:rsidRDefault="00A40771" w:rsidP="00EE0ED5">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2) noclegów,</w:t>
      </w:r>
    </w:p>
    <w:p w14:paraId="1929BD3A" w14:textId="6AE1D3A7" w:rsidR="00A40771" w:rsidRPr="00A40771" w:rsidRDefault="00A40771" w:rsidP="00EE0ED5">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3) innych niezbędnych udokumentowanych wydatków, określonych lub uznanych przez</w:t>
      </w:r>
      <w:r w:rsidR="00EE0ED5">
        <w:rPr>
          <w:rFonts w:eastAsiaTheme="minorHAnsi"/>
          <w:sz w:val="24"/>
          <w:szCs w:val="24"/>
          <w:lang w:eastAsia="en-US"/>
        </w:rPr>
        <w:t xml:space="preserve"> </w:t>
      </w:r>
      <w:r w:rsidRPr="00A40771">
        <w:rPr>
          <w:rFonts w:eastAsiaTheme="minorHAnsi"/>
          <w:sz w:val="24"/>
          <w:szCs w:val="24"/>
          <w:lang w:eastAsia="en-US"/>
        </w:rPr>
        <w:t>pracodawcę odpowiednio do uzasadnionych potrzeb m.in. opłaty za bagaż, przejazd</w:t>
      </w:r>
      <w:r w:rsidR="00EE0ED5">
        <w:rPr>
          <w:rFonts w:eastAsiaTheme="minorHAnsi"/>
          <w:sz w:val="24"/>
          <w:szCs w:val="24"/>
          <w:lang w:eastAsia="en-US"/>
        </w:rPr>
        <w:t xml:space="preserve"> </w:t>
      </w:r>
      <w:r w:rsidRPr="00A40771">
        <w:rPr>
          <w:rFonts w:eastAsiaTheme="minorHAnsi"/>
          <w:sz w:val="24"/>
          <w:szCs w:val="24"/>
          <w:lang w:eastAsia="en-US"/>
        </w:rPr>
        <w:t>drogami płatnymi i autostradami, postój w strefie płatnego parkowania, miejsca</w:t>
      </w:r>
      <w:r w:rsidR="00EE0ED5">
        <w:rPr>
          <w:rFonts w:eastAsiaTheme="minorHAnsi"/>
          <w:sz w:val="24"/>
          <w:szCs w:val="24"/>
          <w:lang w:eastAsia="en-US"/>
        </w:rPr>
        <w:t xml:space="preserve"> </w:t>
      </w:r>
      <w:r w:rsidRPr="00A40771">
        <w:rPr>
          <w:rFonts w:eastAsiaTheme="minorHAnsi"/>
          <w:sz w:val="24"/>
          <w:szCs w:val="24"/>
          <w:lang w:eastAsia="en-US"/>
        </w:rPr>
        <w:t>parkingowe.</w:t>
      </w:r>
    </w:p>
    <w:p w14:paraId="0DEF2154" w14:textId="4985AB7F" w:rsidR="00A40771" w:rsidRPr="00E91C02" w:rsidRDefault="008B3409" w:rsidP="008B3409">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15</w:t>
      </w:r>
      <w:r w:rsidR="00A40771" w:rsidRPr="00A40771">
        <w:rPr>
          <w:rFonts w:eastAsiaTheme="minorHAnsi"/>
          <w:sz w:val="24"/>
          <w:szCs w:val="24"/>
          <w:lang w:eastAsia="en-US"/>
        </w:rPr>
        <w:t>. Zgodnie z Ustawą o podatku dochodowym od osób fizycznych art. 21 ust.1 pkt 16,</w:t>
      </w:r>
      <w:r w:rsidR="00EE0ED5">
        <w:rPr>
          <w:rFonts w:eastAsiaTheme="minorHAnsi"/>
          <w:sz w:val="24"/>
          <w:szCs w:val="24"/>
          <w:lang w:eastAsia="en-US"/>
        </w:rPr>
        <w:t xml:space="preserve"> </w:t>
      </w:r>
      <w:r w:rsidR="00A40771" w:rsidRPr="00A40771">
        <w:rPr>
          <w:rFonts w:eastAsiaTheme="minorHAnsi"/>
          <w:sz w:val="24"/>
          <w:szCs w:val="24"/>
          <w:lang w:eastAsia="en-US"/>
        </w:rPr>
        <w:t>zwolnione od podatku są m. in. diety za czas podróży służbowej pracownika do wysokości</w:t>
      </w:r>
      <w:r w:rsidR="00EE0ED5">
        <w:rPr>
          <w:rFonts w:eastAsiaTheme="minorHAnsi"/>
          <w:sz w:val="24"/>
          <w:szCs w:val="24"/>
          <w:lang w:eastAsia="en-US"/>
        </w:rPr>
        <w:t xml:space="preserve"> </w:t>
      </w:r>
      <w:r w:rsidR="00A40771" w:rsidRPr="00A40771">
        <w:rPr>
          <w:rFonts w:eastAsiaTheme="minorHAnsi"/>
          <w:sz w:val="24"/>
          <w:szCs w:val="24"/>
          <w:lang w:eastAsia="en-US"/>
        </w:rPr>
        <w:t>określonej w odrębnych ustawach lub przepisach wydanych przez ministra właściwego do</w:t>
      </w:r>
      <w:r w:rsidR="00EE0ED5">
        <w:rPr>
          <w:rFonts w:eastAsiaTheme="minorHAnsi"/>
          <w:sz w:val="24"/>
          <w:szCs w:val="24"/>
          <w:lang w:eastAsia="en-US"/>
        </w:rPr>
        <w:t xml:space="preserve"> </w:t>
      </w:r>
      <w:r w:rsidR="00A40771" w:rsidRPr="00A40771">
        <w:rPr>
          <w:rFonts w:eastAsiaTheme="minorHAnsi"/>
          <w:sz w:val="24"/>
          <w:szCs w:val="24"/>
          <w:lang w:eastAsia="en-US"/>
        </w:rPr>
        <w:t>spraw pracy w sprawie wysokości oraz warunków ustalania należności przysługujących</w:t>
      </w:r>
      <w:r w:rsidR="00EE0ED5">
        <w:rPr>
          <w:rFonts w:eastAsiaTheme="minorHAnsi"/>
          <w:sz w:val="24"/>
          <w:szCs w:val="24"/>
          <w:lang w:eastAsia="en-US"/>
        </w:rPr>
        <w:t xml:space="preserve"> </w:t>
      </w:r>
      <w:r w:rsidR="00A40771" w:rsidRPr="00A40771">
        <w:rPr>
          <w:rFonts w:eastAsiaTheme="minorHAnsi"/>
          <w:sz w:val="24"/>
          <w:szCs w:val="24"/>
          <w:lang w:eastAsia="en-US"/>
        </w:rPr>
        <w:t>pracownikowi zatrudnionemu w państwowej lub samorządowej jednostce sfery</w:t>
      </w:r>
      <w:r w:rsidR="00EE0ED5">
        <w:rPr>
          <w:rFonts w:eastAsiaTheme="minorHAnsi"/>
          <w:sz w:val="24"/>
          <w:szCs w:val="24"/>
          <w:lang w:eastAsia="en-US"/>
        </w:rPr>
        <w:t xml:space="preserve"> </w:t>
      </w:r>
      <w:r w:rsidR="00A40771" w:rsidRPr="00A40771">
        <w:rPr>
          <w:rFonts w:eastAsiaTheme="minorHAnsi"/>
          <w:sz w:val="24"/>
          <w:szCs w:val="24"/>
          <w:lang w:eastAsia="en-US"/>
        </w:rPr>
        <w:t>budżetowej, z tytułu podróży na obszarze kraju lub poza jego granicami. Nadwyżka diety</w:t>
      </w:r>
      <w:r w:rsidR="00EE0ED5">
        <w:rPr>
          <w:rFonts w:eastAsiaTheme="minorHAnsi"/>
          <w:sz w:val="24"/>
          <w:szCs w:val="24"/>
          <w:lang w:eastAsia="en-US"/>
        </w:rPr>
        <w:t xml:space="preserve"> </w:t>
      </w:r>
      <w:r w:rsidR="00A40771" w:rsidRPr="00A40771">
        <w:rPr>
          <w:rFonts w:eastAsiaTheme="minorHAnsi"/>
          <w:sz w:val="24"/>
          <w:szCs w:val="24"/>
          <w:lang w:eastAsia="en-US"/>
        </w:rPr>
        <w:t>ponad limit będzie stanowiła dla pracownika przychód podlegający opodatkowaniu oraz</w:t>
      </w:r>
      <w:r w:rsidR="00EE0ED5">
        <w:rPr>
          <w:rFonts w:eastAsiaTheme="minorHAnsi"/>
          <w:sz w:val="24"/>
          <w:szCs w:val="24"/>
          <w:lang w:eastAsia="en-US"/>
        </w:rPr>
        <w:t xml:space="preserve"> </w:t>
      </w:r>
      <w:r w:rsidR="00A40771" w:rsidRPr="00E91C02">
        <w:rPr>
          <w:rFonts w:eastAsiaTheme="minorHAnsi"/>
          <w:sz w:val="24"/>
          <w:szCs w:val="24"/>
          <w:lang w:eastAsia="en-US"/>
        </w:rPr>
        <w:t>podstawę naliczenia składek ZUS.</w:t>
      </w:r>
    </w:p>
    <w:p w14:paraId="29DE3922" w14:textId="54CF50B7" w:rsidR="00A40771" w:rsidRPr="00A40771" w:rsidRDefault="008B3409" w:rsidP="008B3409">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16</w:t>
      </w:r>
      <w:r w:rsidR="00A40771" w:rsidRPr="00A40771">
        <w:rPr>
          <w:rFonts w:eastAsiaTheme="minorHAnsi"/>
          <w:sz w:val="24"/>
          <w:szCs w:val="24"/>
          <w:lang w:eastAsia="en-US"/>
        </w:rPr>
        <w:t>. Czas pobytu pracownika poza granicami kraju liczy się przy podróży służbowej odbywanej</w:t>
      </w:r>
    </w:p>
    <w:p w14:paraId="4D4287DF"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środkami komunikacji:</w:t>
      </w:r>
    </w:p>
    <w:p w14:paraId="582F190C" w14:textId="4D9B13A1"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lastRenderedPageBreak/>
        <w:t>1) lądowej – od chwili przekroczenia granicy polskiej w drodze za granicę do chwili</w:t>
      </w:r>
      <w:r w:rsidR="00EE0ED5">
        <w:rPr>
          <w:rFonts w:eastAsiaTheme="minorHAnsi"/>
          <w:sz w:val="24"/>
          <w:szCs w:val="24"/>
          <w:lang w:eastAsia="en-US"/>
        </w:rPr>
        <w:t xml:space="preserve"> </w:t>
      </w:r>
      <w:r w:rsidRPr="00A40771">
        <w:rPr>
          <w:rFonts w:eastAsiaTheme="minorHAnsi"/>
          <w:sz w:val="24"/>
          <w:szCs w:val="24"/>
          <w:lang w:eastAsia="en-US"/>
        </w:rPr>
        <w:t>przekroczenia granicy polskiej w drodze powrotnej do kraju,</w:t>
      </w:r>
    </w:p>
    <w:p w14:paraId="4903DC76" w14:textId="10CB7E65"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2) lotniczej – od chwili startu samolotu w drodze za granicę z ostatniego lotniska w kraju</w:t>
      </w:r>
      <w:r w:rsidR="00EE0ED5">
        <w:rPr>
          <w:rFonts w:eastAsiaTheme="minorHAnsi"/>
          <w:sz w:val="24"/>
          <w:szCs w:val="24"/>
          <w:lang w:eastAsia="en-US"/>
        </w:rPr>
        <w:t xml:space="preserve"> </w:t>
      </w:r>
      <w:r w:rsidRPr="00A40771">
        <w:rPr>
          <w:rFonts w:eastAsiaTheme="minorHAnsi"/>
          <w:sz w:val="24"/>
          <w:szCs w:val="24"/>
          <w:lang w:eastAsia="en-US"/>
        </w:rPr>
        <w:t>do chwili lądowania samolotu w drodze powrotnej na pierwsze lotnisko w kraju,</w:t>
      </w:r>
    </w:p>
    <w:p w14:paraId="4FC06B78" w14:textId="02613F13"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3) morskiej – od chwili wyjścia statku (promu) z portu polskiego do wejścia statku (promu)</w:t>
      </w:r>
      <w:r w:rsidR="00EE0ED5">
        <w:rPr>
          <w:rFonts w:eastAsiaTheme="minorHAnsi"/>
          <w:sz w:val="24"/>
          <w:szCs w:val="24"/>
          <w:lang w:eastAsia="en-US"/>
        </w:rPr>
        <w:t xml:space="preserve"> </w:t>
      </w:r>
      <w:r w:rsidRPr="00A40771">
        <w:rPr>
          <w:rFonts w:eastAsiaTheme="minorHAnsi"/>
          <w:sz w:val="24"/>
          <w:szCs w:val="24"/>
          <w:lang w:eastAsia="en-US"/>
        </w:rPr>
        <w:t>w drodze powrotnej do portu polskiego.</w:t>
      </w:r>
    </w:p>
    <w:p w14:paraId="09610AC1" w14:textId="69F0A7B4" w:rsidR="00A40771" w:rsidRPr="00A40771" w:rsidRDefault="008B3409" w:rsidP="008B3409">
      <w:pPr>
        <w:suppressAutoHyphens w:val="0"/>
        <w:autoSpaceDE w:val="0"/>
        <w:autoSpaceDN w:val="0"/>
        <w:adjustRightInd w:val="0"/>
        <w:jc w:val="both"/>
        <w:rPr>
          <w:rFonts w:eastAsiaTheme="minorHAnsi"/>
          <w:sz w:val="24"/>
          <w:szCs w:val="24"/>
          <w:lang w:eastAsia="en-US"/>
        </w:rPr>
      </w:pPr>
      <w:r>
        <w:rPr>
          <w:rFonts w:eastAsiaTheme="minorHAnsi"/>
          <w:sz w:val="24"/>
          <w:szCs w:val="24"/>
          <w:lang w:eastAsia="en-US"/>
        </w:rPr>
        <w:t>17</w:t>
      </w:r>
      <w:r w:rsidR="00A40771" w:rsidRPr="00A40771">
        <w:rPr>
          <w:rFonts w:eastAsiaTheme="minorHAnsi"/>
          <w:sz w:val="24"/>
          <w:szCs w:val="24"/>
          <w:lang w:eastAsia="en-US"/>
        </w:rPr>
        <w:t>. Dieta przysługuje w wysokości obowiązującej dla docelowego państwa w podróży</w:t>
      </w:r>
      <w:r w:rsidR="00EE0ED5">
        <w:rPr>
          <w:rFonts w:eastAsiaTheme="minorHAnsi"/>
          <w:sz w:val="24"/>
          <w:szCs w:val="24"/>
          <w:lang w:eastAsia="en-US"/>
        </w:rPr>
        <w:t xml:space="preserve"> </w:t>
      </w:r>
      <w:r w:rsidR="00A40771" w:rsidRPr="00A40771">
        <w:rPr>
          <w:rFonts w:eastAsiaTheme="minorHAnsi"/>
          <w:sz w:val="24"/>
          <w:szCs w:val="24"/>
          <w:lang w:eastAsia="en-US"/>
        </w:rPr>
        <w:t>służbowej. Przy jej obliczaniu stosuje się następujące zasady:</w:t>
      </w:r>
    </w:p>
    <w:p w14:paraId="6AE630E1"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1) za każdą dobę przysługuje dieta w pełnej wysokości,</w:t>
      </w:r>
    </w:p>
    <w:p w14:paraId="1BEE0C5F"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2) za niepełną dobę:</w:t>
      </w:r>
      <w:bookmarkStart w:id="0" w:name="_GoBack"/>
      <w:bookmarkEnd w:id="0"/>
    </w:p>
    <w:p w14:paraId="165D49E4"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a) do 8 godzin przysługuje 1/3 diety,</w:t>
      </w:r>
    </w:p>
    <w:p w14:paraId="13E87E35"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b) ponad 8 do 12 godzin – 1/2 diety,</w:t>
      </w:r>
    </w:p>
    <w:p w14:paraId="593E6A94"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c) ponad 12 godzin – przysługuje dieta w pełnej wysokości.</w:t>
      </w:r>
    </w:p>
    <w:p w14:paraId="4A8B99DD" w14:textId="77777777"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Dieta przeznaczona jest na pokrycie kosztów wyżywienia i inne drobne wydatki.</w:t>
      </w:r>
    </w:p>
    <w:p w14:paraId="0D4FC8DA" w14:textId="5698B286" w:rsidR="00A40771" w:rsidRDefault="00A40771" w:rsidP="002453FF">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Pracownikowi, któremu zapewniono w czasie podróży zagranicznej bezpłatne, całodzienne</w:t>
      </w:r>
      <w:r w:rsidR="00EE0ED5">
        <w:rPr>
          <w:rFonts w:eastAsiaTheme="minorHAnsi"/>
          <w:sz w:val="24"/>
          <w:szCs w:val="24"/>
          <w:lang w:eastAsia="en-US"/>
        </w:rPr>
        <w:t xml:space="preserve"> </w:t>
      </w:r>
      <w:r w:rsidRPr="00A40771">
        <w:rPr>
          <w:rFonts w:eastAsiaTheme="minorHAnsi"/>
          <w:sz w:val="24"/>
          <w:szCs w:val="24"/>
          <w:lang w:eastAsia="en-US"/>
        </w:rPr>
        <w:t>wyżywienie, przysługuje 25% diety obliczonej wg powyższych zasad.</w:t>
      </w:r>
    </w:p>
    <w:p w14:paraId="787BE3EB" w14:textId="619C52C7" w:rsidR="002453FF" w:rsidRPr="002453FF" w:rsidRDefault="002453FF" w:rsidP="00EE0ED5">
      <w:pPr>
        <w:pStyle w:val="NormalnyWeb"/>
        <w:spacing w:before="0" w:beforeAutospacing="0" w:after="0" w:afterAutospacing="0" w:line="0" w:lineRule="atLeast"/>
        <w:jc w:val="both"/>
      </w:pPr>
      <w:r w:rsidRPr="002453FF">
        <w:t>3. Kwotę diety zmniejsza się o koszt zapewnionego bezpłatnego wyżywienia, przyjmując, że każdy posiłek stanowi odpowiednio:</w:t>
      </w:r>
    </w:p>
    <w:p w14:paraId="43E3A6DB" w14:textId="121AD0F0" w:rsidR="002453FF" w:rsidRPr="002453FF" w:rsidRDefault="002453FF" w:rsidP="002453FF">
      <w:pPr>
        <w:pStyle w:val="NormalnyWeb"/>
        <w:spacing w:before="0" w:beforeAutospacing="0" w:after="0" w:afterAutospacing="0" w:line="0" w:lineRule="atLeast"/>
        <w:ind w:left="330" w:right="330"/>
      </w:pPr>
      <w:r>
        <w:t>a</w:t>
      </w:r>
      <w:r w:rsidRPr="002453FF">
        <w:t>) śniadanie - 15% diety;</w:t>
      </w:r>
    </w:p>
    <w:p w14:paraId="0F84FC66" w14:textId="6A597EA6" w:rsidR="002453FF" w:rsidRPr="002453FF" w:rsidRDefault="002453FF" w:rsidP="002453FF">
      <w:pPr>
        <w:pStyle w:val="NormalnyWeb"/>
        <w:spacing w:before="0" w:beforeAutospacing="0" w:after="0" w:afterAutospacing="0" w:line="0" w:lineRule="atLeast"/>
        <w:ind w:left="330" w:right="330"/>
      </w:pPr>
      <w:r>
        <w:t>b</w:t>
      </w:r>
      <w:r w:rsidRPr="002453FF">
        <w:t>) obiad - 30% diety;</w:t>
      </w:r>
    </w:p>
    <w:p w14:paraId="7BD38A8D" w14:textId="2819C12E" w:rsidR="002453FF" w:rsidRPr="002453FF" w:rsidRDefault="002453FF" w:rsidP="002453FF">
      <w:pPr>
        <w:pStyle w:val="NormalnyWeb"/>
        <w:spacing w:before="0" w:beforeAutospacing="0" w:after="0" w:afterAutospacing="0" w:line="0" w:lineRule="atLeast"/>
        <w:ind w:left="330" w:right="330"/>
      </w:pPr>
      <w:r>
        <w:t>c</w:t>
      </w:r>
      <w:r w:rsidRPr="002453FF">
        <w:t>) kolacja - 30% diety.</w:t>
      </w:r>
    </w:p>
    <w:p w14:paraId="73FBB66B" w14:textId="77777777" w:rsidR="002453FF" w:rsidRPr="00A40771" w:rsidRDefault="002453FF" w:rsidP="008B3409">
      <w:pPr>
        <w:suppressAutoHyphens w:val="0"/>
        <w:autoSpaceDE w:val="0"/>
        <w:autoSpaceDN w:val="0"/>
        <w:adjustRightInd w:val="0"/>
        <w:jc w:val="both"/>
        <w:rPr>
          <w:rFonts w:eastAsiaTheme="minorHAnsi"/>
          <w:sz w:val="24"/>
          <w:szCs w:val="24"/>
          <w:lang w:eastAsia="en-US"/>
        </w:rPr>
      </w:pPr>
    </w:p>
    <w:p w14:paraId="1F760417" w14:textId="6AD2F26B" w:rsidR="007F1721" w:rsidRPr="00EE0ED5" w:rsidRDefault="009802AA" w:rsidP="008B3409">
      <w:pPr>
        <w:pStyle w:val="Normalny1"/>
        <w:jc w:val="both"/>
        <w:rPr>
          <w:rStyle w:val="Domylnaczcionkaakapitu2"/>
          <w:color w:val="auto"/>
        </w:rPr>
      </w:pPr>
      <w:r w:rsidRPr="00EE0ED5">
        <w:rPr>
          <w:rFonts w:eastAsiaTheme="minorHAnsi"/>
          <w:color w:val="auto"/>
          <w:lang w:eastAsia="en-US"/>
        </w:rPr>
        <w:t>1</w:t>
      </w:r>
      <w:r w:rsidR="008B3409" w:rsidRPr="00EE0ED5">
        <w:rPr>
          <w:rFonts w:eastAsiaTheme="minorHAnsi"/>
          <w:color w:val="auto"/>
          <w:lang w:eastAsia="en-US"/>
        </w:rPr>
        <w:t>8</w:t>
      </w:r>
      <w:r w:rsidR="00A40771" w:rsidRPr="00EE0ED5">
        <w:rPr>
          <w:rFonts w:eastAsiaTheme="minorHAnsi"/>
          <w:color w:val="auto"/>
          <w:lang w:eastAsia="en-US"/>
        </w:rPr>
        <w:t xml:space="preserve">. </w:t>
      </w:r>
      <w:r w:rsidR="007F1721" w:rsidRPr="00EE0ED5">
        <w:rPr>
          <w:rFonts w:eastAsiaTheme="minorHAnsi"/>
          <w:color w:val="auto"/>
          <w:lang w:eastAsia="en-US"/>
        </w:rPr>
        <w:t>W</w:t>
      </w:r>
      <w:r w:rsidR="007F1721" w:rsidRPr="00EE0ED5">
        <w:rPr>
          <w:rFonts w:cs="Helvetica"/>
          <w:color w:val="auto"/>
          <w:lang w:val="en"/>
        </w:rPr>
        <w:t>ydatki,  które pracownik dokonał w imieniu i na rzecz pracodawcy, a które zostały potw</w:t>
      </w:r>
      <w:r w:rsidR="009332DC" w:rsidRPr="00EE0ED5">
        <w:rPr>
          <w:rFonts w:cs="Helvetica"/>
          <w:color w:val="auto"/>
          <w:lang w:val="en"/>
        </w:rPr>
        <w:t xml:space="preserve">ierdzone fakturami </w:t>
      </w:r>
      <w:r w:rsidR="002453FF" w:rsidRPr="00EE0ED5">
        <w:rPr>
          <w:rFonts w:cs="Helvetica"/>
          <w:color w:val="auto"/>
          <w:lang w:val="en"/>
        </w:rPr>
        <w:t xml:space="preserve">oraz </w:t>
      </w:r>
      <w:r w:rsidR="007F1721" w:rsidRPr="00EE0ED5">
        <w:rPr>
          <w:rFonts w:cs="Helvetica"/>
          <w:color w:val="auto"/>
          <w:lang w:val="en"/>
        </w:rPr>
        <w:t>nieudokumentowane wydatki, takie jak diety czy ryczałty przelicz</w:t>
      </w:r>
      <w:r w:rsidR="009332DC" w:rsidRPr="00EE0ED5">
        <w:rPr>
          <w:rFonts w:cs="Helvetica"/>
          <w:color w:val="auto"/>
          <w:lang w:val="en"/>
        </w:rPr>
        <w:t>ane są</w:t>
      </w:r>
      <w:r w:rsidR="007F1721" w:rsidRPr="00EE0ED5">
        <w:rPr>
          <w:rFonts w:cs="Helvetica"/>
          <w:color w:val="auto"/>
          <w:lang w:val="en"/>
        </w:rPr>
        <w:t xml:space="preserve"> według średniego kursu NBP z dnia poprzedzającego dzień rozliczenia </w:t>
      </w:r>
      <w:r w:rsidR="002453FF" w:rsidRPr="00EE0ED5">
        <w:rPr>
          <w:rFonts w:cs="Helvetica"/>
          <w:color w:val="auto"/>
          <w:lang w:val="en"/>
        </w:rPr>
        <w:t xml:space="preserve">(złożenia) </w:t>
      </w:r>
      <w:r w:rsidR="007F1721" w:rsidRPr="00EE0ED5">
        <w:rPr>
          <w:rFonts w:cs="Helvetica"/>
          <w:color w:val="auto"/>
          <w:lang w:val="en"/>
        </w:rPr>
        <w:t>delegacji</w:t>
      </w:r>
      <w:r w:rsidR="009332DC" w:rsidRPr="00EE0ED5">
        <w:rPr>
          <w:rFonts w:cs="Helvetica"/>
          <w:color w:val="auto"/>
          <w:lang w:val="en"/>
        </w:rPr>
        <w:t>.</w:t>
      </w:r>
    </w:p>
    <w:p w14:paraId="132BDD83" w14:textId="77777777" w:rsidR="007F1721" w:rsidRPr="00EE0ED5" w:rsidRDefault="007F1721" w:rsidP="008B3409">
      <w:pPr>
        <w:suppressAutoHyphens w:val="0"/>
        <w:autoSpaceDE w:val="0"/>
        <w:autoSpaceDN w:val="0"/>
        <w:adjustRightInd w:val="0"/>
        <w:jc w:val="both"/>
        <w:rPr>
          <w:rFonts w:eastAsiaTheme="minorHAnsi"/>
          <w:sz w:val="24"/>
          <w:szCs w:val="24"/>
          <w:lang w:eastAsia="en-US"/>
        </w:rPr>
      </w:pPr>
    </w:p>
    <w:p w14:paraId="47D39250" w14:textId="144A587C" w:rsidR="00A40771" w:rsidRP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bCs/>
          <w:sz w:val="24"/>
          <w:szCs w:val="24"/>
          <w:lang w:eastAsia="en-US"/>
        </w:rPr>
        <w:t xml:space="preserve">Rozliczenie kosztów podróży powinno nastąpić nie później niż w terminie </w:t>
      </w:r>
      <w:r w:rsidR="009802AA">
        <w:rPr>
          <w:rFonts w:eastAsiaTheme="minorHAnsi"/>
          <w:bCs/>
          <w:sz w:val="24"/>
          <w:szCs w:val="24"/>
          <w:lang w:eastAsia="en-US"/>
        </w:rPr>
        <w:t>7</w:t>
      </w:r>
      <w:r w:rsidRPr="00A40771">
        <w:rPr>
          <w:rFonts w:eastAsiaTheme="minorHAnsi"/>
          <w:bCs/>
          <w:sz w:val="24"/>
          <w:szCs w:val="24"/>
          <w:lang w:eastAsia="en-US"/>
        </w:rPr>
        <w:t xml:space="preserve"> dni od dnia</w:t>
      </w:r>
      <w:r w:rsidR="00EE0ED5">
        <w:rPr>
          <w:rFonts w:eastAsiaTheme="minorHAnsi"/>
          <w:bCs/>
          <w:sz w:val="24"/>
          <w:szCs w:val="24"/>
          <w:lang w:eastAsia="en-US"/>
        </w:rPr>
        <w:t xml:space="preserve"> </w:t>
      </w:r>
      <w:r w:rsidRPr="00A40771">
        <w:rPr>
          <w:rFonts w:eastAsiaTheme="minorHAnsi"/>
          <w:bCs/>
          <w:sz w:val="24"/>
          <w:szCs w:val="24"/>
          <w:lang w:eastAsia="en-US"/>
        </w:rPr>
        <w:t>zakończenia podróży służbowej</w:t>
      </w:r>
      <w:r w:rsidR="009332DC">
        <w:rPr>
          <w:rFonts w:eastAsiaTheme="minorHAnsi"/>
          <w:sz w:val="24"/>
          <w:szCs w:val="24"/>
          <w:lang w:eastAsia="en-US"/>
        </w:rPr>
        <w:t xml:space="preserve"> zgodnie z zasadami dotyczącymi </w:t>
      </w:r>
      <w:r w:rsidR="009802AA">
        <w:rPr>
          <w:rFonts w:eastAsiaTheme="minorHAnsi"/>
          <w:sz w:val="24"/>
          <w:szCs w:val="24"/>
          <w:lang w:eastAsia="en-US"/>
        </w:rPr>
        <w:t>obieg</w:t>
      </w:r>
      <w:r w:rsidR="009332DC">
        <w:rPr>
          <w:rFonts w:eastAsiaTheme="minorHAnsi"/>
          <w:sz w:val="24"/>
          <w:szCs w:val="24"/>
          <w:lang w:eastAsia="en-US"/>
        </w:rPr>
        <w:t xml:space="preserve">u dokumentów </w:t>
      </w:r>
      <w:r w:rsidR="009802AA">
        <w:rPr>
          <w:rFonts w:eastAsiaTheme="minorHAnsi"/>
          <w:sz w:val="24"/>
          <w:szCs w:val="24"/>
          <w:lang w:eastAsia="en-US"/>
        </w:rPr>
        <w:t>rozlicz</w:t>
      </w:r>
      <w:r w:rsidR="009332DC">
        <w:rPr>
          <w:rFonts w:eastAsiaTheme="minorHAnsi"/>
          <w:sz w:val="24"/>
          <w:szCs w:val="24"/>
          <w:lang w:eastAsia="en-US"/>
        </w:rPr>
        <w:t xml:space="preserve">ających </w:t>
      </w:r>
      <w:r w:rsidR="009802AA">
        <w:rPr>
          <w:rFonts w:eastAsiaTheme="minorHAnsi"/>
          <w:sz w:val="24"/>
          <w:szCs w:val="24"/>
          <w:lang w:eastAsia="en-US"/>
        </w:rPr>
        <w:t>podróż służbow</w:t>
      </w:r>
      <w:r w:rsidR="009332DC">
        <w:rPr>
          <w:rFonts w:eastAsiaTheme="minorHAnsi"/>
          <w:sz w:val="24"/>
          <w:szCs w:val="24"/>
          <w:lang w:eastAsia="en-US"/>
        </w:rPr>
        <w:t>ą</w:t>
      </w:r>
      <w:r w:rsidR="009802AA">
        <w:rPr>
          <w:rFonts w:eastAsiaTheme="minorHAnsi"/>
          <w:sz w:val="24"/>
          <w:szCs w:val="24"/>
          <w:lang w:eastAsia="en-US"/>
        </w:rPr>
        <w:t xml:space="preserve"> krajow</w:t>
      </w:r>
      <w:r w:rsidR="009332DC">
        <w:rPr>
          <w:rFonts w:eastAsiaTheme="minorHAnsi"/>
          <w:sz w:val="24"/>
          <w:szCs w:val="24"/>
          <w:lang w:eastAsia="en-US"/>
        </w:rPr>
        <w:t>ą</w:t>
      </w:r>
      <w:r w:rsidR="009802AA">
        <w:rPr>
          <w:rFonts w:eastAsiaTheme="minorHAnsi"/>
          <w:sz w:val="24"/>
          <w:szCs w:val="24"/>
          <w:lang w:eastAsia="en-US"/>
        </w:rPr>
        <w:t>.</w:t>
      </w:r>
    </w:p>
    <w:p w14:paraId="2113643B" w14:textId="5B535F73" w:rsidR="00A40771" w:rsidRDefault="00A40771" w:rsidP="008B3409">
      <w:pPr>
        <w:suppressAutoHyphens w:val="0"/>
        <w:autoSpaceDE w:val="0"/>
        <w:autoSpaceDN w:val="0"/>
        <w:adjustRightInd w:val="0"/>
        <w:jc w:val="both"/>
        <w:rPr>
          <w:rFonts w:eastAsiaTheme="minorHAnsi"/>
          <w:sz w:val="24"/>
          <w:szCs w:val="24"/>
          <w:lang w:eastAsia="en-US"/>
        </w:rPr>
      </w:pPr>
      <w:r w:rsidRPr="00A40771">
        <w:rPr>
          <w:rFonts w:eastAsiaTheme="minorHAnsi"/>
          <w:sz w:val="24"/>
          <w:szCs w:val="24"/>
          <w:lang w:eastAsia="en-US"/>
        </w:rPr>
        <w:t>1</w:t>
      </w:r>
      <w:r w:rsidR="008B3409">
        <w:rPr>
          <w:rFonts w:eastAsiaTheme="minorHAnsi"/>
          <w:sz w:val="24"/>
          <w:szCs w:val="24"/>
          <w:lang w:eastAsia="en-US"/>
        </w:rPr>
        <w:t>9</w:t>
      </w:r>
      <w:r w:rsidRPr="00A40771">
        <w:rPr>
          <w:rFonts w:eastAsiaTheme="minorHAnsi"/>
          <w:sz w:val="24"/>
          <w:szCs w:val="24"/>
          <w:lang w:eastAsia="en-US"/>
        </w:rPr>
        <w:t>. Szczegółowe zasady w zakresie podróży służbowych krajowy</w:t>
      </w:r>
      <w:r>
        <w:rPr>
          <w:rFonts w:eastAsiaTheme="minorHAnsi"/>
          <w:sz w:val="24"/>
          <w:szCs w:val="24"/>
          <w:lang w:eastAsia="en-US"/>
        </w:rPr>
        <w:t xml:space="preserve">ch i zagranicznych zawarte są w </w:t>
      </w:r>
      <w:r w:rsidRPr="00A40771">
        <w:rPr>
          <w:rFonts w:eastAsiaTheme="minorHAnsi"/>
          <w:sz w:val="24"/>
          <w:szCs w:val="24"/>
          <w:lang w:eastAsia="en-US"/>
        </w:rPr>
        <w:t>Rozporządzeniu Ministra Pracy i Polityki Społecznej z dnia 2</w:t>
      </w:r>
      <w:r>
        <w:rPr>
          <w:rFonts w:eastAsiaTheme="minorHAnsi"/>
          <w:sz w:val="24"/>
          <w:szCs w:val="24"/>
          <w:lang w:eastAsia="en-US"/>
        </w:rPr>
        <w:t>9.01.2013 roku (Dz.U. 2013 poz.</w:t>
      </w:r>
      <w:r w:rsidRPr="00A40771">
        <w:rPr>
          <w:rFonts w:eastAsiaTheme="minorHAnsi"/>
          <w:sz w:val="24"/>
          <w:szCs w:val="24"/>
          <w:lang w:eastAsia="en-US"/>
        </w:rPr>
        <w:t>167) w sprawie należności przysługujących pracownikowi</w:t>
      </w:r>
      <w:r>
        <w:rPr>
          <w:rFonts w:eastAsiaTheme="minorHAnsi"/>
          <w:sz w:val="24"/>
          <w:szCs w:val="24"/>
          <w:lang w:eastAsia="en-US"/>
        </w:rPr>
        <w:t xml:space="preserve"> zatrudnionemu w państwowej lub </w:t>
      </w:r>
      <w:r w:rsidRPr="00A40771">
        <w:rPr>
          <w:rFonts w:eastAsiaTheme="minorHAnsi"/>
          <w:sz w:val="24"/>
          <w:szCs w:val="24"/>
          <w:lang w:eastAsia="en-US"/>
        </w:rPr>
        <w:t>samorządowej jednostce sfery budżetowej z tytułu podróży służbowej.</w:t>
      </w:r>
      <w:r w:rsidR="00EE0ED5">
        <w:rPr>
          <w:rFonts w:eastAsiaTheme="minorHAnsi"/>
          <w:sz w:val="24"/>
          <w:szCs w:val="24"/>
          <w:lang w:eastAsia="en-US"/>
        </w:rPr>
        <w:t>”</w:t>
      </w:r>
    </w:p>
    <w:p w14:paraId="28CD51AF" w14:textId="77777777" w:rsidR="000E327F" w:rsidRPr="00A40771" w:rsidRDefault="000E327F" w:rsidP="008B3409">
      <w:pPr>
        <w:suppressAutoHyphens w:val="0"/>
        <w:autoSpaceDE w:val="0"/>
        <w:autoSpaceDN w:val="0"/>
        <w:adjustRightInd w:val="0"/>
        <w:jc w:val="both"/>
        <w:rPr>
          <w:rFonts w:eastAsiaTheme="minorHAnsi"/>
          <w:sz w:val="24"/>
          <w:szCs w:val="24"/>
          <w:lang w:eastAsia="en-US"/>
        </w:rPr>
      </w:pPr>
    </w:p>
    <w:p w14:paraId="4B785D90" w14:textId="77777777" w:rsidR="00E75521" w:rsidRDefault="00E75521" w:rsidP="008B3409">
      <w:pPr>
        <w:pStyle w:val="Akapitzlist"/>
        <w:ind w:left="720"/>
        <w:jc w:val="both"/>
        <w:rPr>
          <w:bCs/>
          <w:sz w:val="24"/>
          <w:szCs w:val="24"/>
        </w:rPr>
      </w:pPr>
    </w:p>
    <w:p w14:paraId="5C04283D" w14:textId="75BAB267" w:rsidR="00E75521" w:rsidRDefault="006C10C8" w:rsidP="008B3409">
      <w:pPr>
        <w:pStyle w:val="Akapitzlist"/>
        <w:numPr>
          <w:ilvl w:val="0"/>
          <w:numId w:val="3"/>
        </w:numPr>
        <w:jc w:val="both"/>
        <w:rPr>
          <w:bCs/>
          <w:sz w:val="24"/>
          <w:szCs w:val="24"/>
        </w:rPr>
      </w:pPr>
      <w:r>
        <w:rPr>
          <w:bCs/>
          <w:sz w:val="24"/>
          <w:szCs w:val="24"/>
        </w:rPr>
        <w:t xml:space="preserve">W rozdziale XIII § 16 </w:t>
      </w:r>
      <w:r w:rsidR="00EE0ED5">
        <w:rPr>
          <w:bCs/>
          <w:sz w:val="24"/>
          <w:szCs w:val="24"/>
        </w:rPr>
        <w:t xml:space="preserve">zmianie ulega </w:t>
      </w:r>
      <w:r w:rsidR="00E75521" w:rsidRPr="008B3409">
        <w:rPr>
          <w:bCs/>
          <w:sz w:val="24"/>
          <w:szCs w:val="24"/>
        </w:rPr>
        <w:t>ust.</w:t>
      </w:r>
      <w:r w:rsidR="00EE0ED5">
        <w:rPr>
          <w:bCs/>
          <w:sz w:val="24"/>
          <w:szCs w:val="24"/>
        </w:rPr>
        <w:t xml:space="preserve"> </w:t>
      </w:r>
      <w:r w:rsidR="00E75521" w:rsidRPr="008B3409">
        <w:rPr>
          <w:bCs/>
          <w:sz w:val="24"/>
          <w:szCs w:val="24"/>
        </w:rPr>
        <w:t>6, który otrzymuje brzmienie:</w:t>
      </w:r>
    </w:p>
    <w:p w14:paraId="7741048C" w14:textId="77777777" w:rsidR="00BF03E0" w:rsidRPr="008B3409" w:rsidRDefault="00BF03E0" w:rsidP="00BF03E0">
      <w:pPr>
        <w:pStyle w:val="Akapitzlist"/>
        <w:ind w:left="720"/>
        <w:jc w:val="both"/>
        <w:rPr>
          <w:bCs/>
          <w:sz w:val="24"/>
          <w:szCs w:val="24"/>
        </w:rPr>
      </w:pPr>
    </w:p>
    <w:p w14:paraId="1ADFBA05" w14:textId="25BBB635" w:rsidR="00ED43E1" w:rsidRPr="000E327F" w:rsidRDefault="0069261D" w:rsidP="000E327F">
      <w:pPr>
        <w:shd w:val="clear" w:color="auto" w:fill="FFFFFF"/>
        <w:spacing w:after="200" w:line="264" w:lineRule="exact"/>
        <w:jc w:val="both"/>
        <w:rPr>
          <w:rStyle w:val="Domylnaczcionkaakapitu2"/>
          <w:bCs/>
          <w:sz w:val="24"/>
          <w:szCs w:val="24"/>
        </w:rPr>
      </w:pPr>
      <w:r w:rsidRPr="00BF03E0">
        <w:rPr>
          <w:bCs/>
          <w:sz w:val="24"/>
          <w:szCs w:val="24"/>
        </w:rPr>
        <w:t>„</w:t>
      </w:r>
      <w:r w:rsidR="00EE0ED5">
        <w:rPr>
          <w:bCs/>
          <w:sz w:val="24"/>
          <w:szCs w:val="24"/>
        </w:rPr>
        <w:t xml:space="preserve">6. </w:t>
      </w:r>
      <w:r w:rsidR="00BF03E0" w:rsidRPr="00BF03E0">
        <w:rPr>
          <w:bCs/>
          <w:sz w:val="24"/>
          <w:szCs w:val="24"/>
        </w:rPr>
        <w:t xml:space="preserve">Zaangażowanie wynikające z współfinansowania projektu z budżetu państwa ujmowane jest na podstawie złożonego przez beneficjenta, zatwierdzonego przez IPAW harmonogramu płatności. Na zakończenie roku budżetowego zmiany zaangażowania w roku bieżącym i w latach przyszłych wprowadzane są w księgach rachunkowych do wysokości poniesionych wydatków. Zaangażowanie niezrealizowane w roku bieżącym, ujmuje się w następnym roku.” </w:t>
      </w:r>
    </w:p>
    <w:p w14:paraId="2D49DA7C" w14:textId="77777777" w:rsidR="000E327F" w:rsidRDefault="000E327F" w:rsidP="00655008">
      <w:pPr>
        <w:pStyle w:val="Akapitzlist1"/>
        <w:tabs>
          <w:tab w:val="left" w:pos="708"/>
        </w:tabs>
        <w:ind w:left="0"/>
        <w:jc w:val="center"/>
        <w:rPr>
          <w:rStyle w:val="Domylnaczcionkaakapitu2"/>
          <w:b/>
          <w:color w:val="000000"/>
        </w:rPr>
      </w:pPr>
    </w:p>
    <w:p w14:paraId="054F889D" w14:textId="77777777" w:rsidR="000E327F" w:rsidRDefault="000E327F" w:rsidP="00655008">
      <w:pPr>
        <w:pStyle w:val="Akapitzlist1"/>
        <w:tabs>
          <w:tab w:val="left" w:pos="708"/>
        </w:tabs>
        <w:ind w:left="0"/>
        <w:jc w:val="center"/>
        <w:rPr>
          <w:rStyle w:val="Domylnaczcionkaakapitu2"/>
          <w:b/>
          <w:color w:val="000000"/>
        </w:rPr>
      </w:pPr>
    </w:p>
    <w:p w14:paraId="5738A00A" w14:textId="77777777" w:rsidR="000E327F" w:rsidRDefault="000E327F" w:rsidP="00655008">
      <w:pPr>
        <w:pStyle w:val="Akapitzlist1"/>
        <w:tabs>
          <w:tab w:val="left" w:pos="708"/>
        </w:tabs>
        <w:ind w:left="0"/>
        <w:jc w:val="center"/>
        <w:rPr>
          <w:rStyle w:val="Domylnaczcionkaakapitu2"/>
          <w:b/>
          <w:color w:val="000000"/>
        </w:rPr>
      </w:pPr>
    </w:p>
    <w:p w14:paraId="32607188" w14:textId="77777777" w:rsidR="000E327F" w:rsidRDefault="000E327F" w:rsidP="00655008">
      <w:pPr>
        <w:pStyle w:val="Akapitzlist1"/>
        <w:tabs>
          <w:tab w:val="left" w:pos="708"/>
        </w:tabs>
        <w:ind w:left="0"/>
        <w:jc w:val="center"/>
        <w:rPr>
          <w:rStyle w:val="Domylnaczcionkaakapitu2"/>
          <w:b/>
          <w:color w:val="000000"/>
        </w:rPr>
      </w:pPr>
    </w:p>
    <w:p w14:paraId="38F03657" w14:textId="77777777" w:rsidR="000E327F" w:rsidRDefault="000E327F" w:rsidP="00655008">
      <w:pPr>
        <w:pStyle w:val="Akapitzlist1"/>
        <w:tabs>
          <w:tab w:val="left" w:pos="708"/>
        </w:tabs>
        <w:ind w:left="0"/>
        <w:jc w:val="center"/>
        <w:rPr>
          <w:rStyle w:val="Domylnaczcionkaakapitu2"/>
          <w:b/>
          <w:color w:val="000000"/>
        </w:rPr>
      </w:pPr>
    </w:p>
    <w:p w14:paraId="72616977" w14:textId="77777777" w:rsidR="000E327F" w:rsidRDefault="000E327F" w:rsidP="00655008">
      <w:pPr>
        <w:pStyle w:val="Akapitzlist1"/>
        <w:tabs>
          <w:tab w:val="left" w:pos="708"/>
        </w:tabs>
        <w:ind w:left="0"/>
        <w:jc w:val="center"/>
        <w:rPr>
          <w:rStyle w:val="Domylnaczcionkaakapitu2"/>
          <w:b/>
          <w:color w:val="000000"/>
        </w:rPr>
      </w:pPr>
    </w:p>
    <w:p w14:paraId="16FDFC86" w14:textId="77777777" w:rsidR="000E327F" w:rsidRDefault="000E327F" w:rsidP="00655008">
      <w:pPr>
        <w:pStyle w:val="Akapitzlist1"/>
        <w:tabs>
          <w:tab w:val="left" w:pos="708"/>
        </w:tabs>
        <w:ind w:left="0"/>
        <w:jc w:val="center"/>
        <w:rPr>
          <w:rStyle w:val="Domylnaczcionkaakapitu2"/>
          <w:b/>
          <w:color w:val="000000"/>
        </w:rPr>
      </w:pPr>
    </w:p>
    <w:p w14:paraId="13F007C5" w14:textId="77777777"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lastRenderedPageBreak/>
        <w:t>§ 2</w:t>
      </w:r>
    </w:p>
    <w:p w14:paraId="7A66CA08" w14:textId="77777777" w:rsidR="00655008" w:rsidRDefault="00655008" w:rsidP="00655008">
      <w:pPr>
        <w:pStyle w:val="Akapitzlist1"/>
        <w:tabs>
          <w:tab w:val="left" w:pos="708"/>
        </w:tabs>
        <w:ind w:left="0"/>
      </w:pPr>
    </w:p>
    <w:p w14:paraId="5461A152" w14:textId="77777777" w:rsidR="008870A2" w:rsidRDefault="00655008" w:rsidP="00655008">
      <w:pPr>
        <w:pStyle w:val="Akapitzlist1"/>
        <w:tabs>
          <w:tab w:val="left" w:pos="708"/>
        </w:tabs>
        <w:ind w:left="0"/>
      </w:pPr>
      <w:r>
        <w:t xml:space="preserve">Pozostałe postanowienia </w:t>
      </w:r>
      <w:r w:rsidR="006D2292">
        <w:t>Z</w:t>
      </w:r>
      <w:r>
        <w:t>arządzenia nr 7/2015 pozostają bez zmian.</w:t>
      </w:r>
    </w:p>
    <w:p w14:paraId="4076AFEA" w14:textId="77777777" w:rsidR="00655008" w:rsidRDefault="00655008" w:rsidP="00655008">
      <w:pPr>
        <w:pStyle w:val="Normalny1"/>
        <w:tabs>
          <w:tab w:val="clear" w:pos="708"/>
          <w:tab w:val="left" w:pos="0"/>
        </w:tabs>
        <w:jc w:val="center"/>
        <w:rPr>
          <w:b/>
          <w:color w:val="000000"/>
        </w:rPr>
      </w:pPr>
    </w:p>
    <w:p w14:paraId="244777C8" w14:textId="77777777" w:rsidR="00655008" w:rsidRDefault="00D36E70" w:rsidP="00655008">
      <w:pPr>
        <w:pStyle w:val="Normalny1"/>
        <w:tabs>
          <w:tab w:val="clear" w:pos="708"/>
          <w:tab w:val="left" w:pos="0"/>
        </w:tabs>
        <w:jc w:val="center"/>
        <w:rPr>
          <w:b/>
          <w:color w:val="000000"/>
        </w:rPr>
      </w:pPr>
      <w:r>
        <w:rPr>
          <w:b/>
          <w:color w:val="000000"/>
        </w:rPr>
        <w:t>§ 3</w:t>
      </w:r>
    </w:p>
    <w:p w14:paraId="64CAE9FA" w14:textId="77777777"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14:paraId="4099D86A" w14:textId="77777777" w:rsidR="00145137" w:rsidRDefault="00145137" w:rsidP="00BC650F">
      <w:pPr>
        <w:pStyle w:val="Normalny1"/>
        <w:tabs>
          <w:tab w:val="clear" w:pos="708"/>
          <w:tab w:val="left" w:pos="0"/>
        </w:tabs>
        <w:rPr>
          <w:b/>
          <w:color w:val="000000"/>
        </w:rPr>
      </w:pPr>
    </w:p>
    <w:p w14:paraId="691036F8" w14:textId="77777777" w:rsidR="00655008" w:rsidRDefault="00D36E70" w:rsidP="00655008">
      <w:pPr>
        <w:pStyle w:val="Normalny1"/>
        <w:tabs>
          <w:tab w:val="clear" w:pos="708"/>
          <w:tab w:val="left" w:pos="0"/>
        </w:tabs>
        <w:jc w:val="center"/>
        <w:rPr>
          <w:b/>
          <w:color w:val="000000"/>
        </w:rPr>
      </w:pPr>
      <w:r>
        <w:rPr>
          <w:b/>
          <w:color w:val="000000"/>
        </w:rPr>
        <w:t>§ 4</w:t>
      </w:r>
    </w:p>
    <w:p w14:paraId="2E19A77B" w14:textId="77777777"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wchodzi w życie z dniem podpisania.</w:t>
      </w:r>
    </w:p>
    <w:sectPr w:rsidR="00655008">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FCCC66" w16cid:durableId="21790551"/>
  <w16cid:commentId w16cid:paraId="14791296" w16cid:durableId="2179059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6"/>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07F24DF"/>
    <w:multiLevelType w:val="hybridMultilevel"/>
    <w:tmpl w:val="0B061F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86F18FA"/>
    <w:multiLevelType w:val="hybridMultilevel"/>
    <w:tmpl w:val="09CC56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trackedChanges"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073024"/>
    <w:rsid w:val="00091CC9"/>
    <w:rsid w:val="000949FD"/>
    <w:rsid w:val="000E327F"/>
    <w:rsid w:val="0010557A"/>
    <w:rsid w:val="00115BB4"/>
    <w:rsid w:val="00145137"/>
    <w:rsid w:val="001C30C4"/>
    <w:rsid w:val="0020081F"/>
    <w:rsid w:val="002453FF"/>
    <w:rsid w:val="002B0DD8"/>
    <w:rsid w:val="002B5568"/>
    <w:rsid w:val="002D4E30"/>
    <w:rsid w:val="0030161A"/>
    <w:rsid w:val="004768C7"/>
    <w:rsid w:val="004E3AEE"/>
    <w:rsid w:val="00582593"/>
    <w:rsid w:val="00585630"/>
    <w:rsid w:val="005C3653"/>
    <w:rsid w:val="00655008"/>
    <w:rsid w:val="0069261D"/>
    <w:rsid w:val="006C10C8"/>
    <w:rsid w:val="006D2292"/>
    <w:rsid w:val="00717756"/>
    <w:rsid w:val="00747AAC"/>
    <w:rsid w:val="007757AB"/>
    <w:rsid w:val="007F1721"/>
    <w:rsid w:val="008408E0"/>
    <w:rsid w:val="008771E4"/>
    <w:rsid w:val="008870A2"/>
    <w:rsid w:val="008B3409"/>
    <w:rsid w:val="00924F51"/>
    <w:rsid w:val="009332DC"/>
    <w:rsid w:val="00951673"/>
    <w:rsid w:val="00953572"/>
    <w:rsid w:val="009802AA"/>
    <w:rsid w:val="00A337DE"/>
    <w:rsid w:val="00A340F5"/>
    <w:rsid w:val="00A40771"/>
    <w:rsid w:val="00AD031E"/>
    <w:rsid w:val="00BC650F"/>
    <w:rsid w:val="00BF03E0"/>
    <w:rsid w:val="00C00AEA"/>
    <w:rsid w:val="00C47AA9"/>
    <w:rsid w:val="00C528AD"/>
    <w:rsid w:val="00CB5ABC"/>
    <w:rsid w:val="00D110F6"/>
    <w:rsid w:val="00D15345"/>
    <w:rsid w:val="00D270B9"/>
    <w:rsid w:val="00D36E70"/>
    <w:rsid w:val="00D622C8"/>
    <w:rsid w:val="00DD3AB0"/>
    <w:rsid w:val="00DD6649"/>
    <w:rsid w:val="00E15E94"/>
    <w:rsid w:val="00E42390"/>
    <w:rsid w:val="00E75521"/>
    <w:rsid w:val="00E91C02"/>
    <w:rsid w:val="00ED43E1"/>
    <w:rsid w:val="00EE0ED5"/>
    <w:rsid w:val="00F16838"/>
    <w:rsid w:val="00F67957"/>
    <w:rsid w:val="00F916E9"/>
    <w:rsid w:val="00F93640"/>
    <w:rsid w:val="00FA3785"/>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3351"/>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 w:type="character" w:styleId="Pogrubienie">
    <w:name w:val="Strong"/>
    <w:basedOn w:val="Domylnaczcionkaakapitu"/>
    <w:uiPriority w:val="22"/>
    <w:qFormat/>
    <w:rsid w:val="0069261D"/>
    <w:rPr>
      <w:b/>
      <w:bCs/>
    </w:rPr>
  </w:style>
  <w:style w:type="character" w:styleId="Odwoaniedokomentarza">
    <w:name w:val="annotation reference"/>
    <w:basedOn w:val="Domylnaczcionkaakapitu"/>
    <w:uiPriority w:val="99"/>
    <w:semiHidden/>
    <w:unhideWhenUsed/>
    <w:rsid w:val="008408E0"/>
    <w:rPr>
      <w:sz w:val="16"/>
      <w:szCs w:val="16"/>
    </w:rPr>
  </w:style>
  <w:style w:type="paragraph" w:styleId="Tekstkomentarza">
    <w:name w:val="annotation text"/>
    <w:basedOn w:val="Normalny"/>
    <w:link w:val="TekstkomentarzaZnak"/>
    <w:uiPriority w:val="99"/>
    <w:semiHidden/>
    <w:unhideWhenUsed/>
    <w:rsid w:val="008408E0"/>
  </w:style>
  <w:style w:type="character" w:customStyle="1" w:styleId="TekstkomentarzaZnak">
    <w:name w:val="Tekst komentarza Znak"/>
    <w:basedOn w:val="Domylnaczcionkaakapitu"/>
    <w:link w:val="Tekstkomentarza"/>
    <w:uiPriority w:val="99"/>
    <w:semiHidden/>
    <w:rsid w:val="008408E0"/>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8408E0"/>
    <w:rPr>
      <w:b/>
      <w:bCs/>
    </w:rPr>
  </w:style>
  <w:style w:type="character" w:customStyle="1" w:styleId="TematkomentarzaZnak">
    <w:name w:val="Temat komentarza Znak"/>
    <w:basedOn w:val="TekstkomentarzaZnak"/>
    <w:link w:val="Tematkomentarza"/>
    <w:uiPriority w:val="99"/>
    <w:semiHidden/>
    <w:rsid w:val="008408E0"/>
    <w:rPr>
      <w:rFonts w:ascii="Times New Roman" w:eastAsia="Times New Roman" w:hAnsi="Times New Roman" w:cs="Times New Roman"/>
      <w:b/>
      <w:bCs/>
      <w:sz w:val="20"/>
      <w:szCs w:val="20"/>
      <w:lang w:eastAsia="ar-SA"/>
    </w:rPr>
  </w:style>
  <w:style w:type="paragraph" w:styleId="NormalnyWeb">
    <w:name w:val="Normal (Web)"/>
    <w:basedOn w:val="Normalny"/>
    <w:uiPriority w:val="99"/>
    <w:semiHidden/>
    <w:unhideWhenUsed/>
    <w:rsid w:val="002453FF"/>
    <w:pPr>
      <w:suppressAutoHyphens w:val="0"/>
      <w:spacing w:before="100" w:beforeAutospacing="1" w:after="100" w:afterAutospacing="1"/>
    </w:pPr>
    <w:rPr>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947681">
      <w:bodyDiv w:val="1"/>
      <w:marLeft w:val="0"/>
      <w:marRight w:val="0"/>
      <w:marTop w:val="0"/>
      <w:marBottom w:val="0"/>
      <w:divBdr>
        <w:top w:val="none" w:sz="0" w:space="0" w:color="auto"/>
        <w:left w:val="none" w:sz="0" w:space="0" w:color="auto"/>
        <w:bottom w:val="none" w:sz="0" w:space="0" w:color="auto"/>
        <w:right w:val="none" w:sz="0" w:space="0" w:color="auto"/>
      </w:divBdr>
      <w:divsChild>
        <w:div w:id="764111705">
          <w:marLeft w:val="0"/>
          <w:marRight w:val="0"/>
          <w:marTop w:val="0"/>
          <w:marBottom w:val="75"/>
          <w:divBdr>
            <w:top w:val="none" w:sz="0" w:space="0" w:color="auto"/>
            <w:left w:val="none" w:sz="0" w:space="0" w:color="auto"/>
            <w:bottom w:val="none" w:sz="0" w:space="0" w:color="auto"/>
            <w:right w:val="none" w:sz="0" w:space="0" w:color="auto"/>
          </w:divBdr>
          <w:divsChild>
            <w:div w:id="1982271213">
              <w:marLeft w:val="0"/>
              <w:marRight w:val="0"/>
              <w:marTop w:val="45"/>
              <w:marBottom w:val="0"/>
              <w:divBdr>
                <w:top w:val="none" w:sz="0" w:space="0" w:color="auto"/>
                <w:left w:val="none" w:sz="0" w:space="0" w:color="auto"/>
                <w:bottom w:val="none" w:sz="0" w:space="0" w:color="auto"/>
                <w:right w:val="none" w:sz="0" w:space="0" w:color="auto"/>
              </w:divBdr>
              <w:divsChild>
                <w:div w:id="1345672324">
                  <w:marLeft w:val="0"/>
                  <w:marRight w:val="0"/>
                  <w:marTop w:val="0"/>
                  <w:marBottom w:val="0"/>
                  <w:divBdr>
                    <w:top w:val="single" w:sz="6" w:space="0" w:color="BBBBBB"/>
                    <w:left w:val="single" w:sz="6" w:space="0" w:color="BBBBBB"/>
                    <w:bottom w:val="single" w:sz="6" w:space="0" w:color="BBBBBB"/>
                    <w:right w:val="single" w:sz="6" w:space="0" w:color="BBBBBB"/>
                  </w:divBdr>
                  <w:divsChild>
                    <w:div w:id="45148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4E960-A4C9-4A69-908E-C1E24CA73E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4998</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4</cp:revision>
  <cp:lastPrinted>2019-11-18T11:15:00Z</cp:lastPrinted>
  <dcterms:created xsi:type="dcterms:W3CDTF">2019-11-18T11:11:00Z</dcterms:created>
  <dcterms:modified xsi:type="dcterms:W3CDTF">2019-11-18T13:17:00Z</dcterms:modified>
</cp:coreProperties>
</file>